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2" w:rsidRPr="001F0720" w:rsidRDefault="00D07653">
      <w:pPr>
        <w:rPr>
          <w:szCs w:val="24"/>
        </w:rPr>
      </w:pPr>
      <w:bookmarkStart w:id="0" w:name="_GoBack"/>
      <w:bookmarkEnd w:id="0"/>
    </w:p>
    <w:p w:rsidR="00247AFA" w:rsidRPr="001F0720" w:rsidRDefault="00247AFA">
      <w:pPr>
        <w:rPr>
          <w:szCs w:val="24"/>
        </w:rPr>
      </w:pPr>
    </w:p>
    <w:p w:rsidR="00247AFA" w:rsidRPr="002E5896" w:rsidRDefault="00247AFA" w:rsidP="00247AFA">
      <w:pPr>
        <w:spacing w:before="240" w:after="240" w:line="360" w:lineRule="auto"/>
        <w:jc w:val="right"/>
        <w:rPr>
          <w:rFonts w:ascii="Palatino Linotype" w:hAnsi="Palatino Linotype"/>
          <w:b/>
          <w:sz w:val="24"/>
          <w:szCs w:val="24"/>
        </w:rPr>
      </w:pPr>
      <w:r w:rsidRPr="002E5896">
        <w:rPr>
          <w:rFonts w:ascii="Palatino Linotype" w:hAnsi="Palatino Linotype"/>
          <w:b/>
          <w:sz w:val="24"/>
          <w:szCs w:val="24"/>
        </w:rPr>
        <w:t xml:space="preserve">Metepec, México, </w:t>
      </w:r>
      <w:proofErr w:type="gramStart"/>
      <w:r w:rsidR="007D4237">
        <w:rPr>
          <w:rFonts w:ascii="Palatino Linotype" w:hAnsi="Palatino Linotype"/>
          <w:b/>
          <w:sz w:val="24"/>
          <w:szCs w:val="24"/>
        </w:rPr>
        <w:t>Agosto</w:t>
      </w:r>
      <w:proofErr w:type="gramEnd"/>
      <w:r w:rsidR="007D4237">
        <w:rPr>
          <w:rFonts w:ascii="Palatino Linotype" w:hAnsi="Palatino Linotype"/>
          <w:b/>
          <w:sz w:val="24"/>
          <w:szCs w:val="24"/>
        </w:rPr>
        <w:t xml:space="preserve"> 20, de 2018</w:t>
      </w:r>
    </w:p>
    <w:p w:rsidR="00247AFA" w:rsidRPr="002E5896" w:rsidRDefault="00247AFA" w:rsidP="00247AFA">
      <w:pPr>
        <w:spacing w:before="240" w:after="240" w:line="360" w:lineRule="auto"/>
        <w:jc w:val="both"/>
        <w:rPr>
          <w:b/>
          <w:noProof/>
          <w:sz w:val="24"/>
          <w:szCs w:val="24"/>
          <w:lang w:eastAsia="es-MX"/>
        </w:rPr>
      </w:pPr>
      <w:r w:rsidRPr="002E5896">
        <w:rPr>
          <w:b/>
          <w:noProof/>
          <w:sz w:val="24"/>
          <w:szCs w:val="24"/>
          <w:lang w:eastAsia="es-MX"/>
        </w:rPr>
        <mc:AlternateContent>
          <mc:Choice Requires="wps">
            <w:drawing>
              <wp:anchor distT="0" distB="0" distL="114300" distR="114300" simplePos="0" relativeHeight="251659264" behindDoc="1" locked="0" layoutInCell="0" allowOverlap="1" wp14:anchorId="65CB3DAE" wp14:editId="410A239D">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CB3DAE"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2E5896">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676AA1" w:rsidRPr="002E5896">
        <w:rPr>
          <w:rFonts w:ascii="Palatino Linotype" w:hAnsi="Palatino Linotype"/>
          <w:b/>
          <w:sz w:val="24"/>
          <w:szCs w:val="24"/>
        </w:rPr>
        <w:t>VIGÉSIMA</w:t>
      </w:r>
      <w:r w:rsidRPr="002E5896">
        <w:rPr>
          <w:rFonts w:ascii="Palatino Linotype" w:hAnsi="Palatino Linotype"/>
          <w:b/>
          <w:sz w:val="24"/>
          <w:szCs w:val="24"/>
        </w:rPr>
        <w:t xml:space="preserve"> </w:t>
      </w:r>
      <w:r w:rsidR="007D4237">
        <w:rPr>
          <w:rFonts w:ascii="Palatino Linotype" w:hAnsi="Palatino Linotype"/>
          <w:b/>
          <w:sz w:val="24"/>
          <w:szCs w:val="24"/>
        </w:rPr>
        <w:t>NOVENA</w:t>
      </w:r>
      <w:r w:rsidRPr="002E5896">
        <w:rPr>
          <w:rFonts w:ascii="Palatino Linotype" w:hAnsi="Palatino Linotype"/>
          <w:b/>
          <w:sz w:val="24"/>
          <w:szCs w:val="24"/>
        </w:rPr>
        <w:t xml:space="preserve"> SESIÓN ORDINARIA DEL </w:t>
      </w:r>
      <w:r w:rsidR="007D4237">
        <w:rPr>
          <w:rFonts w:ascii="Palatino Linotype" w:hAnsi="Palatino Linotype"/>
          <w:b/>
          <w:sz w:val="24"/>
          <w:szCs w:val="24"/>
        </w:rPr>
        <w:t>QUINCE DE AGOSTO</w:t>
      </w:r>
      <w:r w:rsidR="00365C9A" w:rsidRPr="002E5896">
        <w:rPr>
          <w:rFonts w:ascii="Palatino Linotype" w:hAnsi="Palatino Linotype"/>
          <w:b/>
          <w:sz w:val="24"/>
          <w:szCs w:val="24"/>
        </w:rPr>
        <w:t xml:space="preserve"> </w:t>
      </w:r>
      <w:r w:rsidR="00676AA1" w:rsidRPr="002E5896">
        <w:rPr>
          <w:rFonts w:ascii="Palatino Linotype" w:hAnsi="Palatino Linotype"/>
          <w:b/>
          <w:sz w:val="24"/>
          <w:szCs w:val="24"/>
        </w:rPr>
        <w:t>DE DOS MIL DIECIOCHO</w:t>
      </w:r>
      <w:r w:rsidRPr="002E5896">
        <w:rPr>
          <w:rFonts w:ascii="Palatino Linotype" w:hAnsi="Palatino Linotype"/>
          <w:b/>
          <w:sz w:val="24"/>
          <w:szCs w:val="24"/>
        </w:rPr>
        <w:t xml:space="preserve">, EN EL RECURSO DE REVISIÓN </w:t>
      </w:r>
      <w:r w:rsidR="007D4237">
        <w:rPr>
          <w:rFonts w:ascii="Palatino Linotype" w:hAnsi="Palatino Linotype"/>
          <w:b/>
          <w:bCs/>
          <w:sz w:val="24"/>
          <w:szCs w:val="24"/>
        </w:rPr>
        <w:t>02090</w:t>
      </w:r>
      <w:r w:rsidR="00676AA1" w:rsidRPr="002E5896">
        <w:rPr>
          <w:rFonts w:ascii="Palatino Linotype" w:hAnsi="Palatino Linotype"/>
          <w:b/>
          <w:bCs/>
          <w:sz w:val="24"/>
          <w:szCs w:val="24"/>
        </w:rPr>
        <w:t>/INFOEM/IP/RR/2018</w:t>
      </w:r>
      <w:r w:rsidRPr="002E5896">
        <w:rPr>
          <w:rFonts w:ascii="Palatino Linotype" w:hAnsi="Palatino Linotype"/>
          <w:b/>
          <w:sz w:val="24"/>
          <w:szCs w:val="24"/>
        </w:rPr>
        <w:t>.</w:t>
      </w:r>
    </w:p>
    <w:p w:rsidR="00365C9A" w:rsidRPr="002E5896" w:rsidRDefault="00365C9A" w:rsidP="00365C9A">
      <w:pPr>
        <w:spacing w:before="240" w:after="240" w:line="360" w:lineRule="auto"/>
        <w:jc w:val="both"/>
        <w:rPr>
          <w:rFonts w:ascii="Palatino Linotype" w:hAnsi="Palatino Linotype"/>
          <w:sz w:val="24"/>
          <w:szCs w:val="24"/>
        </w:rPr>
      </w:pPr>
      <w:r w:rsidRPr="002E5896">
        <w:rPr>
          <w:rFonts w:ascii="Palatino Linotype" w:hAnsi="Palatino Linotype"/>
          <w:sz w:val="24"/>
          <w:szCs w:val="24"/>
        </w:rPr>
        <w:t>El Pleno del Instituto de Transparencia, Acceso a la Información Pública y Protección de Datos Personales del Estado de México re</w:t>
      </w:r>
      <w:r w:rsidR="007D4237">
        <w:rPr>
          <w:rFonts w:ascii="Palatino Linotype" w:hAnsi="Palatino Linotype"/>
          <w:sz w:val="24"/>
          <w:szCs w:val="24"/>
        </w:rPr>
        <w:t>solvió por unanimidad de votos,</w:t>
      </w:r>
      <w:r w:rsidRPr="002E5896">
        <w:rPr>
          <w:rFonts w:ascii="Palatino Linotype" w:hAnsi="Palatino Linotype"/>
          <w:sz w:val="24"/>
          <w:szCs w:val="24"/>
        </w:rPr>
        <w:t xml:space="preserve"> la resolución relativa al recurso de revisión </w:t>
      </w:r>
      <w:r w:rsidR="007D4237">
        <w:rPr>
          <w:rFonts w:ascii="Palatino Linotype" w:hAnsi="Palatino Linotype" w:cs="Arial"/>
          <w:b/>
          <w:bCs/>
          <w:sz w:val="24"/>
          <w:szCs w:val="24"/>
          <w:lang w:eastAsia="es-MX"/>
        </w:rPr>
        <w:t>02090</w:t>
      </w:r>
      <w:r w:rsidR="00676AA1" w:rsidRPr="007D4237">
        <w:rPr>
          <w:rFonts w:ascii="Palatino Linotype" w:hAnsi="Palatino Linotype" w:cs="Arial"/>
          <w:b/>
          <w:bCs/>
          <w:sz w:val="24"/>
          <w:szCs w:val="24"/>
          <w:lang w:eastAsia="es-MX"/>
        </w:rPr>
        <w:t>/INFOEM/IP/RR/2018</w:t>
      </w:r>
      <w:r w:rsidRPr="002E5896">
        <w:rPr>
          <w:rFonts w:ascii="Palatino Linotype" w:hAnsi="Palatino Linotype" w:cs="Arial"/>
          <w:bCs/>
          <w:sz w:val="24"/>
          <w:szCs w:val="24"/>
          <w:lang w:eastAsia="es-MX"/>
        </w:rPr>
        <w:t xml:space="preserve"> </w:t>
      </w:r>
      <w:r w:rsidRPr="002E5896">
        <w:rPr>
          <w:rFonts w:ascii="Palatino Linotype" w:hAnsi="Palatino Linotype"/>
          <w:sz w:val="24"/>
          <w:szCs w:val="24"/>
        </w:rPr>
        <w:t>presentada por la Comisionada</w:t>
      </w:r>
      <w:r w:rsidR="007D4237">
        <w:rPr>
          <w:rFonts w:ascii="Palatino Linotype" w:hAnsi="Palatino Linotype"/>
          <w:sz w:val="24"/>
          <w:szCs w:val="24"/>
        </w:rPr>
        <w:t xml:space="preserve"> Presidenta</w:t>
      </w:r>
      <w:r w:rsidRPr="002E5896">
        <w:rPr>
          <w:rFonts w:ascii="Palatino Linotype" w:hAnsi="Palatino Linotype"/>
          <w:sz w:val="24"/>
          <w:szCs w:val="24"/>
        </w:rPr>
        <w:t xml:space="preserve"> </w:t>
      </w:r>
      <w:r w:rsidR="007D4237">
        <w:rPr>
          <w:rFonts w:ascii="Palatino Linotype" w:hAnsi="Palatino Linotype"/>
          <w:sz w:val="24"/>
          <w:szCs w:val="24"/>
        </w:rPr>
        <w:t>Zulema Martínez Sánchez</w:t>
      </w:r>
      <w:r w:rsidRPr="002E5896">
        <w:rPr>
          <w:rFonts w:ascii="Palatino Linotype" w:hAnsi="Palatino Linotype"/>
          <w:sz w:val="24"/>
          <w:szCs w:val="24"/>
        </w:rPr>
        <w:t xml:space="preserve">, respecto de la cual, el suscrito, formula </w:t>
      </w:r>
      <w:r w:rsidRPr="002E5896">
        <w:rPr>
          <w:rFonts w:ascii="Palatino Linotype" w:hAnsi="Palatino Linotype"/>
          <w:b/>
          <w:sz w:val="24"/>
          <w:szCs w:val="24"/>
        </w:rPr>
        <w:t>VOTO PARTICULAR</w:t>
      </w:r>
      <w:r w:rsidRPr="002E5896">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7D4237" w:rsidRPr="007D4237" w:rsidRDefault="00C20EEA" w:rsidP="007D4237">
      <w:pPr>
        <w:spacing w:before="240" w:after="240" w:line="360" w:lineRule="auto"/>
        <w:jc w:val="both"/>
        <w:rPr>
          <w:rFonts w:ascii="Palatino Linotype" w:eastAsia="Calibri" w:hAnsi="Palatino Linotype" w:cs="Arial"/>
          <w:i/>
          <w:color w:val="000000" w:themeColor="text1"/>
          <w:sz w:val="24"/>
          <w:szCs w:val="24"/>
        </w:rPr>
      </w:pPr>
      <w:r w:rsidRPr="002E5896">
        <w:rPr>
          <w:rFonts w:ascii="Palatino Linotype" w:hAnsi="Palatino Linotype"/>
          <w:sz w:val="24"/>
          <w:szCs w:val="24"/>
        </w:rPr>
        <w:t>P</w:t>
      </w:r>
      <w:r w:rsidR="00600BA3" w:rsidRPr="002E5896">
        <w:rPr>
          <w:rFonts w:ascii="Palatino Linotype" w:hAnsi="Palatino Linotype"/>
          <w:sz w:val="24"/>
          <w:szCs w:val="24"/>
        </w:rPr>
        <w:t>revia emisión del presente voto, cabe precisar que la materia en que radicó el recurso</w:t>
      </w:r>
      <w:r w:rsidR="00320195" w:rsidRPr="002E5896">
        <w:rPr>
          <w:rFonts w:ascii="Palatino Linotype" w:hAnsi="Palatino Linotype"/>
          <w:sz w:val="24"/>
          <w:szCs w:val="24"/>
        </w:rPr>
        <w:t xml:space="preserve"> de revisión, </w:t>
      </w:r>
      <w:r w:rsidR="00600BA3" w:rsidRPr="002E5896">
        <w:rPr>
          <w:rFonts w:ascii="Palatino Linotype" w:hAnsi="Palatino Linotype"/>
          <w:sz w:val="24"/>
          <w:szCs w:val="24"/>
        </w:rPr>
        <w:t xml:space="preserve">fue en que se proporcionara por parte del </w:t>
      </w:r>
      <w:r w:rsidR="007D4237">
        <w:rPr>
          <w:rFonts w:ascii="Palatino Linotype" w:hAnsi="Palatino Linotype"/>
          <w:sz w:val="24"/>
          <w:szCs w:val="24"/>
        </w:rPr>
        <w:t>Sistema Municipal p</w:t>
      </w:r>
      <w:r w:rsidR="007D4237" w:rsidRPr="007D4237">
        <w:rPr>
          <w:rFonts w:ascii="Palatino Linotype" w:hAnsi="Palatino Linotype"/>
          <w:sz w:val="24"/>
          <w:szCs w:val="24"/>
        </w:rPr>
        <w:t>ara el Desarrollo Integral de la Familia de Toluca</w:t>
      </w:r>
      <w:r w:rsidR="00D6696F" w:rsidRPr="002E5896">
        <w:rPr>
          <w:rFonts w:ascii="Palatino Linotype" w:hAnsi="Palatino Linotype"/>
          <w:sz w:val="24"/>
          <w:szCs w:val="24"/>
        </w:rPr>
        <w:t xml:space="preserve"> lo siguiente</w:t>
      </w:r>
      <w:r w:rsidR="00600BA3" w:rsidRPr="002E5896">
        <w:rPr>
          <w:rFonts w:ascii="Palatino Linotype" w:hAnsi="Palatino Linotype"/>
          <w:sz w:val="24"/>
          <w:szCs w:val="24"/>
        </w:rPr>
        <w:t xml:space="preserve"> </w:t>
      </w:r>
      <w:r w:rsidR="007D4237" w:rsidRPr="007D4237">
        <w:rPr>
          <w:rFonts w:ascii="Palatino Linotype" w:hAnsi="Palatino Linotype"/>
          <w:i/>
          <w:sz w:val="24"/>
          <w:szCs w:val="24"/>
          <w:lang w:val="es-ES_tradnl"/>
        </w:rPr>
        <w:t xml:space="preserve">“Solicito todas las </w:t>
      </w:r>
      <w:proofErr w:type="spellStart"/>
      <w:r w:rsidR="007D4237" w:rsidRPr="007D4237">
        <w:rPr>
          <w:rFonts w:ascii="Palatino Linotype" w:hAnsi="Palatino Linotype"/>
          <w:i/>
          <w:sz w:val="24"/>
          <w:szCs w:val="24"/>
          <w:lang w:val="es-ES_tradnl"/>
        </w:rPr>
        <w:t>auditorias</w:t>
      </w:r>
      <w:proofErr w:type="spellEnd"/>
      <w:r w:rsidR="007D4237" w:rsidRPr="007D4237">
        <w:rPr>
          <w:rFonts w:ascii="Palatino Linotype" w:hAnsi="Palatino Linotype"/>
          <w:i/>
          <w:sz w:val="24"/>
          <w:szCs w:val="24"/>
          <w:lang w:val="es-ES_tradnl"/>
        </w:rPr>
        <w:t xml:space="preserve"> realizadas por el </w:t>
      </w:r>
      <w:proofErr w:type="spellStart"/>
      <w:r w:rsidR="007D4237" w:rsidRPr="007D4237">
        <w:rPr>
          <w:rFonts w:ascii="Palatino Linotype" w:hAnsi="Palatino Linotype"/>
          <w:i/>
          <w:sz w:val="24"/>
          <w:szCs w:val="24"/>
          <w:lang w:val="es-ES_tradnl"/>
        </w:rPr>
        <w:t>organo</w:t>
      </w:r>
      <w:proofErr w:type="spellEnd"/>
      <w:r w:rsidR="007D4237" w:rsidRPr="007D4237">
        <w:rPr>
          <w:rFonts w:ascii="Palatino Linotype" w:hAnsi="Palatino Linotype"/>
          <w:i/>
          <w:sz w:val="24"/>
          <w:szCs w:val="24"/>
          <w:lang w:val="es-ES_tradnl"/>
        </w:rPr>
        <w:t xml:space="preserve"> interno de control de los años 2016</w:t>
      </w:r>
      <w:proofErr w:type="gramStart"/>
      <w:r w:rsidR="007D4237" w:rsidRPr="007D4237">
        <w:rPr>
          <w:rFonts w:ascii="Palatino Linotype" w:hAnsi="Palatino Linotype"/>
          <w:i/>
          <w:sz w:val="24"/>
          <w:szCs w:val="24"/>
          <w:lang w:val="es-ES_tradnl"/>
        </w:rPr>
        <w:t>,2017,2018</w:t>
      </w:r>
      <w:proofErr w:type="gramEnd"/>
      <w:r w:rsidR="007D4237" w:rsidRPr="007D4237">
        <w:rPr>
          <w:rFonts w:ascii="Palatino Linotype" w:hAnsi="Palatino Linotype"/>
          <w:i/>
          <w:sz w:val="24"/>
          <w:szCs w:val="24"/>
          <w:lang w:val="es-ES_tradnl"/>
        </w:rPr>
        <w:t>. Gracias.”</w:t>
      </w:r>
      <w:r w:rsidR="007D4237">
        <w:rPr>
          <w:rFonts w:ascii="Palatino Linotype" w:hAnsi="Palatino Linotype"/>
          <w:i/>
          <w:sz w:val="24"/>
          <w:szCs w:val="24"/>
        </w:rPr>
        <w:t xml:space="preserve"> </w:t>
      </w:r>
      <w:r w:rsidR="00696583" w:rsidRPr="002E5896">
        <w:rPr>
          <w:rFonts w:ascii="Palatino Linotype" w:hAnsi="Palatino Linotype"/>
          <w:i/>
          <w:sz w:val="24"/>
          <w:szCs w:val="24"/>
        </w:rPr>
        <w:lastRenderedPageBreak/>
        <w:t>(Sic)</w:t>
      </w:r>
      <w:r w:rsidR="007D4237">
        <w:rPr>
          <w:rFonts w:ascii="Palatino Linotype" w:hAnsi="Palatino Linotype"/>
          <w:i/>
          <w:sz w:val="24"/>
          <w:szCs w:val="24"/>
          <w:lang w:val="es-ES_tradnl"/>
        </w:rPr>
        <w:t>.</w:t>
      </w:r>
      <w:r w:rsidR="00600BA3" w:rsidRPr="002E5896">
        <w:rPr>
          <w:rFonts w:ascii="Palatino Linotype" w:eastAsia="Calibri" w:hAnsi="Palatino Linotype" w:cs="Arial"/>
          <w:color w:val="000000" w:themeColor="text1"/>
          <w:sz w:val="24"/>
          <w:szCs w:val="24"/>
          <w:lang w:val="es-ES"/>
        </w:rPr>
        <w:t xml:space="preserve"> </w:t>
      </w:r>
      <w:r w:rsidR="007D4237" w:rsidRPr="002E5896">
        <w:rPr>
          <w:rFonts w:ascii="Palatino Linotype" w:eastAsia="Calibri" w:hAnsi="Palatino Linotype" w:cs="Arial"/>
          <w:color w:val="000000" w:themeColor="text1"/>
          <w:sz w:val="24"/>
          <w:szCs w:val="24"/>
          <w:lang w:val="es-ES"/>
        </w:rPr>
        <w:t>Posteriormente</w:t>
      </w:r>
      <w:r w:rsidR="009D3E65" w:rsidRPr="002E5896">
        <w:rPr>
          <w:rFonts w:ascii="Palatino Linotype" w:eastAsia="Calibri" w:hAnsi="Palatino Linotype" w:cs="Arial"/>
          <w:color w:val="000000" w:themeColor="text1"/>
          <w:sz w:val="24"/>
          <w:szCs w:val="24"/>
          <w:lang w:val="es-ES"/>
        </w:rPr>
        <w:t xml:space="preserve"> el Sujeto Obligado </w:t>
      </w:r>
      <w:r w:rsidR="00BC44E5" w:rsidRPr="002E5896">
        <w:rPr>
          <w:rFonts w:ascii="Palatino Linotype" w:eastAsia="Calibri" w:hAnsi="Palatino Linotype" w:cs="Arial"/>
          <w:color w:val="000000" w:themeColor="text1"/>
          <w:sz w:val="24"/>
          <w:szCs w:val="24"/>
          <w:lang w:val="es-ES"/>
        </w:rPr>
        <w:t xml:space="preserve">envía como respuesta </w:t>
      </w:r>
      <w:r w:rsidR="007D4237">
        <w:rPr>
          <w:rFonts w:ascii="Palatino Linotype" w:eastAsia="Calibri" w:hAnsi="Palatino Linotype" w:cs="Arial"/>
          <w:color w:val="000000" w:themeColor="text1"/>
          <w:sz w:val="24"/>
          <w:szCs w:val="24"/>
          <w:lang w:val="es-ES"/>
        </w:rPr>
        <w:t xml:space="preserve">lo que se trascribe a continuación: </w:t>
      </w:r>
      <w:r w:rsidR="007D4237" w:rsidRPr="007D4237">
        <w:rPr>
          <w:rFonts w:ascii="Palatino Linotype" w:eastAsia="Calibri" w:hAnsi="Palatino Linotype" w:cs="Arial"/>
          <w:i/>
          <w:color w:val="000000" w:themeColor="text1"/>
          <w:sz w:val="24"/>
          <w:szCs w:val="24"/>
        </w:rPr>
        <w:t xml:space="preserve">“…En el año 2016 la </w:t>
      </w:r>
      <w:proofErr w:type="spellStart"/>
      <w:r w:rsidR="007D4237" w:rsidRPr="007D4237">
        <w:rPr>
          <w:rFonts w:ascii="Palatino Linotype" w:eastAsia="Calibri" w:hAnsi="Palatino Linotype" w:cs="Arial"/>
          <w:i/>
          <w:color w:val="000000" w:themeColor="text1"/>
          <w:sz w:val="24"/>
          <w:szCs w:val="24"/>
        </w:rPr>
        <w:t>Contraloria</w:t>
      </w:r>
      <w:proofErr w:type="spellEnd"/>
      <w:r w:rsidR="007D4237" w:rsidRPr="007D4237">
        <w:rPr>
          <w:rFonts w:ascii="Palatino Linotype" w:eastAsia="Calibri" w:hAnsi="Palatino Linotype" w:cs="Arial"/>
          <w:i/>
          <w:color w:val="000000" w:themeColor="text1"/>
          <w:sz w:val="24"/>
          <w:szCs w:val="24"/>
        </w:rPr>
        <w:t xml:space="preserve"> Interna realizo las siguientes auditorias: CI/AA/001/2016 Auditoria Administrativa a los Bienes Inmuebles, por el periodo comprendido del primero de junio al treinta y uno de diciembre de dos mil quince CI/AA/002/2016 Auditoria Administrativa a los Bienes Inmuebles por el periodo comprendido del primero de enero al treinta de junio de dos mil dieciséis CI/AF/003/2016 Auditoria Financiera al Departamento de Servicios Nutricionales, ingresos Programa PRAAME del periodo comprendido del primero de enero al treinta y uno de julio de dos mil dieciséis CI/AI/004/2016 Auditoria Integral Subdirección de Administración y Tesorería del periodo del primero de enero al treinta de septiembre de dos mil dieciséis En el año 2017 la </w:t>
      </w:r>
      <w:proofErr w:type="spellStart"/>
      <w:r w:rsidR="007D4237" w:rsidRPr="007D4237">
        <w:rPr>
          <w:rFonts w:ascii="Palatino Linotype" w:eastAsia="Calibri" w:hAnsi="Palatino Linotype" w:cs="Arial"/>
          <w:i/>
          <w:color w:val="000000" w:themeColor="text1"/>
          <w:sz w:val="24"/>
          <w:szCs w:val="24"/>
        </w:rPr>
        <w:t>Contraloria</w:t>
      </w:r>
      <w:proofErr w:type="spellEnd"/>
      <w:r w:rsidR="007D4237" w:rsidRPr="007D4237">
        <w:rPr>
          <w:rFonts w:ascii="Palatino Linotype" w:eastAsia="Calibri" w:hAnsi="Palatino Linotype" w:cs="Arial"/>
          <w:i/>
          <w:color w:val="000000" w:themeColor="text1"/>
          <w:sz w:val="24"/>
          <w:szCs w:val="24"/>
        </w:rPr>
        <w:t xml:space="preserve"> Interna realizo las siguientes auditorias: CI/AA/005/2017 Auditoria Administrativa al Departamento de Gestión Social por el periodo del primero de enero al veintiocho de febrero de dos mil diecisiete CI/AA/006/2017 Auditoria Administrativa al Programa METRUM del periodo comprendido del primero de enero al veintiocho de febrero de dos mil diecisiete CI/AA/007/2017 Auditoria Administrativa al Departamento de Talleres Comunitarios de Oficio del periodo comprendido del primero de agosto al veintiocho de febrero de dos mil diecisiete CI/AA/008/2017 Auditoria Administrativa a las Estancias Infantiles del periodo comprendido del primero de noviembre al trece de diciembre de dos mil diecisiete. En el año dos mil dieciocho el Órgano Interno de Control se encuentra realizando la auditoria administrativa financiera OIC/AF/001/2018 a la Coordinación de Control Patrimonial por el periodo comprendido del primero de enero al quince de junio de dos mil </w:t>
      </w:r>
      <w:proofErr w:type="gramStart"/>
      <w:r w:rsidR="007D4237" w:rsidRPr="007D4237">
        <w:rPr>
          <w:rFonts w:ascii="Palatino Linotype" w:eastAsia="Calibri" w:hAnsi="Palatino Linotype" w:cs="Arial"/>
          <w:i/>
          <w:color w:val="000000" w:themeColor="text1"/>
          <w:sz w:val="24"/>
          <w:szCs w:val="24"/>
        </w:rPr>
        <w:t>dieciocho</w:t>
      </w:r>
      <w:proofErr w:type="gramEnd"/>
      <w:r w:rsidR="007D4237" w:rsidRPr="007D4237">
        <w:rPr>
          <w:rFonts w:ascii="Palatino Linotype" w:eastAsia="Calibri" w:hAnsi="Palatino Linotype" w:cs="Arial"/>
          <w:i/>
          <w:color w:val="000000" w:themeColor="text1"/>
          <w:sz w:val="24"/>
          <w:szCs w:val="24"/>
        </w:rPr>
        <w:t xml:space="preserve">…” </w:t>
      </w:r>
    </w:p>
    <w:p w:rsidR="007D4237" w:rsidRDefault="007D4237" w:rsidP="00696583">
      <w:pPr>
        <w:spacing w:before="240" w:after="240" w:line="360" w:lineRule="auto"/>
        <w:jc w:val="both"/>
        <w:rPr>
          <w:rFonts w:ascii="Palatino Linotype" w:eastAsia="Calibri" w:hAnsi="Palatino Linotype" w:cs="Arial"/>
          <w:color w:val="000000" w:themeColor="text1"/>
          <w:sz w:val="24"/>
          <w:szCs w:val="24"/>
          <w:lang w:val="es-ES"/>
        </w:rPr>
      </w:pPr>
    </w:p>
    <w:p w:rsidR="0015436A" w:rsidRPr="00DA11BE" w:rsidRDefault="008030EC" w:rsidP="00696583">
      <w:pPr>
        <w:spacing w:before="240" w:after="240" w:line="360" w:lineRule="auto"/>
        <w:jc w:val="both"/>
        <w:rPr>
          <w:rFonts w:ascii="Palatino Linotype" w:eastAsia="Calibri" w:hAnsi="Palatino Linotype" w:cs="Arial"/>
          <w:b/>
          <w:color w:val="000000" w:themeColor="text1"/>
          <w:sz w:val="24"/>
          <w:szCs w:val="24"/>
          <w:u w:val="single"/>
          <w:lang w:val="es-ES"/>
        </w:rPr>
      </w:pPr>
      <w:r w:rsidRPr="002E5896">
        <w:rPr>
          <w:rFonts w:ascii="Palatino Linotype" w:eastAsia="Calibri" w:hAnsi="Palatino Linotype" w:cs="Arial"/>
          <w:color w:val="000000" w:themeColor="text1"/>
          <w:sz w:val="24"/>
          <w:szCs w:val="24"/>
          <w:lang w:val="es-ES"/>
        </w:rPr>
        <w:t>E</w:t>
      </w:r>
      <w:r w:rsidR="00D645C9" w:rsidRPr="002E5896">
        <w:rPr>
          <w:rFonts w:ascii="Palatino Linotype" w:eastAsia="Calibri" w:hAnsi="Palatino Linotype" w:cs="Arial"/>
          <w:color w:val="000000" w:themeColor="text1"/>
          <w:sz w:val="24"/>
          <w:szCs w:val="24"/>
          <w:lang w:val="es-ES"/>
        </w:rPr>
        <w:t xml:space="preserve">s </w:t>
      </w:r>
      <w:r w:rsidRPr="002E5896">
        <w:rPr>
          <w:rFonts w:ascii="Palatino Linotype" w:eastAsia="Calibri" w:hAnsi="Palatino Linotype" w:cs="Arial"/>
          <w:color w:val="000000" w:themeColor="text1"/>
          <w:sz w:val="24"/>
          <w:szCs w:val="24"/>
          <w:lang w:val="es-ES"/>
        </w:rPr>
        <w:t>importante</w:t>
      </w:r>
      <w:r w:rsidR="007D4237">
        <w:rPr>
          <w:rFonts w:ascii="Palatino Linotype" w:eastAsia="Calibri" w:hAnsi="Palatino Linotype" w:cs="Arial"/>
          <w:color w:val="000000" w:themeColor="text1"/>
          <w:sz w:val="24"/>
          <w:szCs w:val="24"/>
          <w:lang w:val="es-ES"/>
        </w:rPr>
        <w:t xml:space="preserve"> aclarar que la parte</w:t>
      </w:r>
      <w:r w:rsidR="00D645C9" w:rsidRPr="002E5896">
        <w:rPr>
          <w:rFonts w:ascii="Palatino Linotype" w:eastAsia="Calibri" w:hAnsi="Palatino Linotype" w:cs="Arial"/>
          <w:color w:val="000000" w:themeColor="text1"/>
          <w:sz w:val="24"/>
          <w:szCs w:val="24"/>
          <w:lang w:val="es-ES"/>
        </w:rPr>
        <w:t xml:space="preserve"> recurrente manifestó mediante su solicitud de infor</w:t>
      </w:r>
      <w:r w:rsidR="00BC44E5" w:rsidRPr="002E5896">
        <w:rPr>
          <w:rFonts w:ascii="Palatino Linotype" w:eastAsia="Calibri" w:hAnsi="Palatino Linotype" w:cs="Arial"/>
          <w:color w:val="000000" w:themeColor="text1"/>
          <w:sz w:val="24"/>
          <w:szCs w:val="24"/>
          <w:lang w:val="es-ES"/>
        </w:rPr>
        <w:t xml:space="preserve">mación el interés por obtener </w:t>
      </w:r>
      <w:r w:rsidR="007D4237" w:rsidRPr="00DA11BE">
        <w:rPr>
          <w:rFonts w:ascii="Palatino Linotype" w:eastAsia="Calibri" w:hAnsi="Palatino Linotype" w:cs="Arial"/>
          <w:b/>
          <w:color w:val="000000" w:themeColor="text1"/>
          <w:sz w:val="24"/>
          <w:szCs w:val="24"/>
          <w:u w:val="single"/>
          <w:lang w:val="es-ES"/>
        </w:rPr>
        <w:t>las auditorías realizadas por el Órgano Interno de Control respecto a los años 2016, 2017 y 2018.</w:t>
      </w:r>
    </w:p>
    <w:p w:rsidR="00DA11BE" w:rsidRDefault="00DA11BE" w:rsidP="00600BA3">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Vista la respuesta, la parte recurrente se adolece porque no se envía el soporte documental, de las actuaciones del Sujeto Obligado.</w:t>
      </w:r>
    </w:p>
    <w:p w:rsidR="00515607" w:rsidRDefault="004D1CAC" w:rsidP="00600BA3">
      <w:pPr>
        <w:spacing w:before="240" w:after="240" w:line="360" w:lineRule="auto"/>
        <w:jc w:val="both"/>
        <w:rPr>
          <w:rFonts w:ascii="Palatino Linotype" w:eastAsia="Calibri" w:hAnsi="Palatino Linotype" w:cs="Arial"/>
          <w:color w:val="000000" w:themeColor="text1"/>
          <w:szCs w:val="24"/>
          <w:lang w:val="es-ES"/>
        </w:rPr>
      </w:pPr>
      <w:r w:rsidRPr="002E5896">
        <w:rPr>
          <w:rFonts w:ascii="Palatino Linotype" w:eastAsia="Calibri" w:hAnsi="Palatino Linotype" w:cs="Arial"/>
          <w:color w:val="000000" w:themeColor="text1"/>
          <w:sz w:val="24"/>
          <w:szCs w:val="24"/>
          <w:lang w:val="es-ES"/>
        </w:rPr>
        <w:t xml:space="preserve">Cabe precisar que el </w:t>
      </w:r>
      <w:r w:rsidR="00642384" w:rsidRPr="002E5896">
        <w:rPr>
          <w:rFonts w:ascii="Palatino Linotype" w:eastAsia="Calibri" w:hAnsi="Palatino Linotype" w:cs="Arial"/>
          <w:color w:val="000000" w:themeColor="text1"/>
          <w:sz w:val="24"/>
          <w:szCs w:val="24"/>
          <w:lang w:val="es-ES"/>
        </w:rPr>
        <w:t xml:space="preserve">Sujeto Obligado vía informe justificado, </w:t>
      </w:r>
      <w:r w:rsidR="00D9057B">
        <w:rPr>
          <w:rFonts w:ascii="Palatino Linotype" w:eastAsia="Calibri" w:hAnsi="Palatino Linotype" w:cs="Arial"/>
          <w:color w:val="000000" w:themeColor="text1"/>
          <w:sz w:val="24"/>
          <w:szCs w:val="24"/>
          <w:lang w:val="es-ES"/>
        </w:rPr>
        <w:t>envía los procedimientos de las auditorias, respecto a los años 2016 y 2017.</w:t>
      </w:r>
    </w:p>
    <w:p w:rsidR="00515607" w:rsidRPr="002E5896" w:rsidRDefault="00F4125F" w:rsidP="00600BA3">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eastAsia="Calibri" w:hAnsi="Palatino Linotype" w:cs="Arial"/>
          <w:color w:val="000000" w:themeColor="text1"/>
          <w:sz w:val="24"/>
          <w:szCs w:val="24"/>
          <w:lang w:val="es-ES"/>
        </w:rPr>
        <w:t xml:space="preserve">Ahora, derivado de lo anterior la Ponencia que resolvió, determinó </w:t>
      </w:r>
      <w:r w:rsidR="00D9057B">
        <w:rPr>
          <w:rFonts w:ascii="Palatino Linotype" w:eastAsia="Calibri" w:hAnsi="Palatino Linotype" w:cs="Arial"/>
          <w:color w:val="000000" w:themeColor="text1"/>
          <w:sz w:val="24"/>
          <w:szCs w:val="24"/>
          <w:lang w:val="es-ES"/>
        </w:rPr>
        <w:t>sobreseer el recurso de revisión de la manera</w:t>
      </w:r>
      <w:r w:rsidRPr="002E5896">
        <w:rPr>
          <w:rFonts w:ascii="Palatino Linotype" w:eastAsia="Calibri" w:hAnsi="Palatino Linotype" w:cs="Arial"/>
          <w:color w:val="000000" w:themeColor="text1"/>
          <w:sz w:val="24"/>
          <w:szCs w:val="24"/>
          <w:lang w:val="es-ES"/>
        </w:rPr>
        <w:t xml:space="preserve"> siguiente:</w:t>
      </w:r>
    </w:p>
    <w:p w:rsidR="00D9057B" w:rsidRPr="00D9057B" w:rsidRDefault="00D9057B" w:rsidP="00D9057B">
      <w:pPr>
        <w:spacing w:before="100" w:beforeAutospacing="1" w:after="100" w:afterAutospacing="1" w:line="240" w:lineRule="auto"/>
        <w:ind w:left="851" w:right="851"/>
        <w:jc w:val="both"/>
        <w:rPr>
          <w:rFonts w:ascii="Palatino Linotype" w:eastAsia="Calibri" w:hAnsi="Palatino Linotype" w:cs="Arial"/>
          <w:i/>
        </w:rPr>
      </w:pPr>
      <w:r>
        <w:rPr>
          <w:rFonts w:ascii="Palatino Linotype" w:eastAsia="Calibri" w:hAnsi="Palatino Linotype" w:cs="Arial"/>
          <w:b/>
          <w:i/>
        </w:rPr>
        <w:t>“</w:t>
      </w:r>
      <w:r w:rsidRPr="00D9057B">
        <w:rPr>
          <w:rFonts w:ascii="Palatino Linotype" w:eastAsia="Calibri" w:hAnsi="Palatino Linotype" w:cs="Arial"/>
          <w:b/>
          <w:i/>
        </w:rPr>
        <w:t>PRIMERO</w:t>
      </w:r>
      <w:r w:rsidRPr="00D9057B">
        <w:rPr>
          <w:rFonts w:ascii="Palatino Linotype" w:eastAsia="Calibri" w:hAnsi="Palatino Linotype" w:cs="Arial"/>
          <w:i/>
        </w:rPr>
        <w:t>.</w:t>
      </w:r>
      <w:r w:rsidRPr="00D9057B">
        <w:rPr>
          <w:rFonts w:ascii="Palatino Linotype" w:eastAsia="Calibri" w:hAnsi="Palatino Linotype" w:cs="Times New Roman"/>
          <w:i/>
        </w:rPr>
        <w:t xml:space="preserve"> </w:t>
      </w:r>
      <w:r w:rsidRPr="00D9057B">
        <w:rPr>
          <w:rFonts w:ascii="Palatino Linotype" w:eastAsia="Calibri" w:hAnsi="Palatino Linotype" w:cs="Arial"/>
          <w:i/>
        </w:rPr>
        <w:t xml:space="preserve">Se </w:t>
      </w:r>
      <w:r w:rsidRPr="00D9057B">
        <w:rPr>
          <w:rFonts w:ascii="Palatino Linotype" w:eastAsia="Calibri" w:hAnsi="Palatino Linotype" w:cs="Arial"/>
          <w:b/>
          <w:i/>
        </w:rPr>
        <w:t>SOBRESEE</w:t>
      </w:r>
      <w:r w:rsidRPr="00D9057B">
        <w:rPr>
          <w:rFonts w:ascii="Palatino Linotype" w:eastAsia="Calibri" w:hAnsi="Palatino Linotype" w:cs="Arial"/>
          <w:i/>
        </w:rPr>
        <w:t xml:space="preserve"> el recurso de revisión número </w:t>
      </w:r>
      <w:r w:rsidRPr="00D9057B">
        <w:rPr>
          <w:rFonts w:ascii="Palatino Linotype" w:eastAsia="Calibri" w:hAnsi="Palatino Linotype" w:cs="Arial"/>
          <w:b/>
          <w:i/>
        </w:rPr>
        <w:t>02090/INFOEM/IP/RR/2018</w:t>
      </w:r>
      <w:r w:rsidRPr="00D9057B">
        <w:rPr>
          <w:rFonts w:ascii="Palatino Linotype" w:eastAsia="Calibri" w:hAnsi="Palatino Linotype" w:cs="Arial"/>
          <w:i/>
        </w:rPr>
        <w:t xml:space="preserve">, porque al modificar la respuesta el recurso de revisión quedó sin materia en términos del Considerando </w:t>
      </w:r>
      <w:r w:rsidRPr="00D9057B">
        <w:rPr>
          <w:rFonts w:ascii="Palatino Linotype" w:eastAsia="Calibri" w:hAnsi="Palatino Linotype" w:cs="Arial"/>
          <w:b/>
          <w:i/>
        </w:rPr>
        <w:t>CUARTO</w:t>
      </w:r>
      <w:r w:rsidRPr="00D9057B">
        <w:rPr>
          <w:rFonts w:ascii="Palatino Linotype" w:eastAsia="Calibri" w:hAnsi="Palatino Linotype" w:cs="Arial"/>
          <w:i/>
        </w:rPr>
        <w:t xml:space="preserve"> de la presente resolución.</w:t>
      </w:r>
      <w:r>
        <w:rPr>
          <w:rFonts w:ascii="Palatino Linotype" w:eastAsia="Calibri" w:hAnsi="Palatino Linotype" w:cs="Arial"/>
          <w:i/>
        </w:rPr>
        <w:t>”</w:t>
      </w:r>
    </w:p>
    <w:p w:rsidR="002E5896" w:rsidRDefault="002E5896" w:rsidP="002E5896">
      <w:pPr>
        <w:spacing w:before="100" w:beforeAutospacing="1" w:after="100" w:afterAutospacing="1" w:line="360" w:lineRule="auto"/>
        <w:jc w:val="both"/>
        <w:rPr>
          <w:rFonts w:ascii="Palatino Linotype" w:eastAsia="Calibri" w:hAnsi="Palatino Linotype" w:cs="Arial"/>
          <w:color w:val="000000" w:themeColor="text1"/>
          <w:sz w:val="24"/>
          <w:szCs w:val="24"/>
          <w:lang w:val="es-ES"/>
        </w:rPr>
      </w:pPr>
      <w:r w:rsidRPr="002E5896">
        <w:rPr>
          <w:rFonts w:ascii="Palatino Linotype" w:eastAsia="Calibri" w:hAnsi="Palatino Linotype" w:cs="Arial"/>
          <w:color w:val="000000" w:themeColor="text1"/>
          <w:sz w:val="24"/>
          <w:szCs w:val="24"/>
          <w:lang w:val="es-ES"/>
        </w:rPr>
        <w:t>Es im</w:t>
      </w:r>
      <w:r w:rsidR="00D9057B">
        <w:rPr>
          <w:rFonts w:ascii="Palatino Linotype" w:eastAsia="Calibri" w:hAnsi="Palatino Linotype" w:cs="Arial"/>
          <w:color w:val="000000" w:themeColor="text1"/>
          <w:sz w:val="24"/>
          <w:szCs w:val="24"/>
          <w:lang w:val="es-ES"/>
        </w:rPr>
        <w:t xml:space="preserve">portante mencionar que </w:t>
      </w:r>
      <w:r w:rsidR="001F445C">
        <w:rPr>
          <w:rFonts w:ascii="Palatino Linotype" w:eastAsia="Calibri" w:hAnsi="Palatino Linotype" w:cs="Arial"/>
          <w:color w:val="000000" w:themeColor="text1"/>
          <w:sz w:val="24"/>
          <w:szCs w:val="24"/>
          <w:lang w:val="es-ES"/>
        </w:rPr>
        <w:t xml:space="preserve">si bien el Sujeto Obligado vía informe justificado envía las auditorías realizadas respecto a los años 2016 y 2017, dentro del engrose de la resolución la Ponencia que resuelve argumenta que </w:t>
      </w:r>
      <w:r w:rsidR="008D542B">
        <w:rPr>
          <w:rFonts w:ascii="Palatino Linotype" w:eastAsia="Calibri" w:hAnsi="Palatino Linotype" w:cs="Arial"/>
          <w:color w:val="000000" w:themeColor="text1"/>
          <w:sz w:val="24"/>
          <w:szCs w:val="24"/>
          <w:lang w:val="es-ES"/>
        </w:rPr>
        <w:t xml:space="preserve">respecto a las de 2018, el Órgano Interno de Control se encontraba realizando la auditoria </w:t>
      </w:r>
      <w:r w:rsidR="008D542B" w:rsidRPr="008D542B">
        <w:rPr>
          <w:rFonts w:ascii="Palatino Linotype" w:eastAsia="Calibri" w:hAnsi="Palatino Linotype" w:cs="Arial"/>
          <w:color w:val="000000" w:themeColor="text1"/>
          <w:sz w:val="24"/>
          <w:szCs w:val="24"/>
        </w:rPr>
        <w:t>administrativa financiera OIC/AF/001/2018 a la Coordinación de Control Patrimonial por el periodo comprendido del primero de enero al quince de junio de dos mil dieciocho</w:t>
      </w:r>
      <w:r w:rsidR="008D542B">
        <w:rPr>
          <w:rFonts w:ascii="Palatino Linotype" w:eastAsia="Calibri" w:hAnsi="Palatino Linotype" w:cs="Arial"/>
          <w:color w:val="000000" w:themeColor="text1"/>
          <w:sz w:val="24"/>
          <w:szCs w:val="24"/>
          <w:lang w:val="es-ES"/>
        </w:rPr>
        <w:t xml:space="preserve"> , por lo que estaba imposibilitado en ese momento para que entregarla.</w:t>
      </w:r>
    </w:p>
    <w:p w:rsidR="008D542B" w:rsidRDefault="008D542B" w:rsidP="002E5896">
      <w:pPr>
        <w:spacing w:before="100" w:beforeAutospacing="1" w:after="100" w:afterAutospacing="1"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lastRenderedPageBreak/>
        <w:t>En ese tenor y ante los procedimientos que enmarca la Ley de la materia, seria procedente realizar el Acuerdo de reserva de la información, atendiendo a lo siguiente:</w:t>
      </w:r>
    </w:p>
    <w:p w:rsidR="008D542B" w:rsidRPr="008D542B" w:rsidRDefault="008D542B" w:rsidP="008D542B">
      <w:pPr>
        <w:pStyle w:val="Prrafodelista"/>
        <w:widowControl w:val="0"/>
        <w:autoSpaceDE w:val="0"/>
        <w:autoSpaceDN w:val="0"/>
        <w:adjustRightInd w:val="0"/>
        <w:spacing w:after="240" w:line="360" w:lineRule="auto"/>
        <w:ind w:left="0"/>
        <w:jc w:val="both"/>
        <w:rPr>
          <w:rFonts w:ascii="Palatino Linotype" w:hAnsi="Palatino Linotype" w:cs="Arial"/>
          <w:sz w:val="24"/>
        </w:rPr>
      </w:pPr>
      <w:r w:rsidRPr="008D542B">
        <w:rPr>
          <w:rFonts w:ascii="Palatino Linotype" w:hAnsi="Palatino Linotype" w:cs="Arial"/>
          <w:sz w:val="24"/>
        </w:rPr>
        <w:t xml:space="preserve">En consecuencia, </w:t>
      </w:r>
      <w:r>
        <w:rPr>
          <w:rFonts w:ascii="Palatino Linotype" w:hAnsi="Palatino Linotype" w:cs="Arial"/>
          <w:sz w:val="24"/>
        </w:rPr>
        <w:t>la ponencia debió ordenarle al</w:t>
      </w:r>
      <w:r w:rsidRPr="008D542B">
        <w:rPr>
          <w:rFonts w:ascii="Palatino Linotype" w:hAnsi="Palatino Linotype" w:cs="Arial"/>
          <w:sz w:val="24"/>
        </w:rPr>
        <w:t xml:space="preserve"> Sujeto Obligado </w:t>
      </w:r>
      <w:r>
        <w:rPr>
          <w:rFonts w:ascii="Palatino Linotype" w:hAnsi="Palatino Linotype" w:cs="Arial"/>
          <w:sz w:val="24"/>
        </w:rPr>
        <w:t>que a través de</w:t>
      </w:r>
      <w:r w:rsidRPr="008D542B">
        <w:rPr>
          <w:rFonts w:ascii="Palatino Linotype" w:hAnsi="Palatino Linotype" w:cs="Arial"/>
          <w:sz w:val="24"/>
        </w:rPr>
        <w:t xml:space="preserve"> su Comité de Transparencia </w:t>
      </w:r>
      <w:r w:rsidRPr="008D542B">
        <w:rPr>
          <w:rFonts w:ascii="Palatino Linotype" w:hAnsi="Palatino Linotype"/>
          <w:sz w:val="24"/>
          <w:szCs w:val="17"/>
          <w:lang w:eastAsia="es-ES_tradnl"/>
        </w:rPr>
        <w:t>clasificar</w:t>
      </w:r>
      <w:r>
        <w:rPr>
          <w:rFonts w:ascii="Palatino Linotype" w:hAnsi="Palatino Linotype"/>
          <w:sz w:val="24"/>
          <w:szCs w:val="17"/>
          <w:lang w:eastAsia="es-ES_tradnl"/>
        </w:rPr>
        <w:t>a</w:t>
      </w:r>
      <w:r w:rsidRPr="008D542B">
        <w:rPr>
          <w:rFonts w:ascii="Palatino Linotype" w:hAnsi="Palatino Linotype"/>
          <w:sz w:val="24"/>
          <w:szCs w:val="17"/>
          <w:lang w:eastAsia="es-ES_tradnl"/>
        </w:rPr>
        <w:t xml:space="preserve"> como reservada la información requerida, por la actualización de la hipótesis normativas </w:t>
      </w:r>
      <w:r w:rsidR="00785058">
        <w:rPr>
          <w:rFonts w:ascii="Palatino Linotype" w:hAnsi="Palatino Linotype"/>
          <w:sz w:val="24"/>
          <w:szCs w:val="17"/>
          <w:lang w:eastAsia="es-ES_tradnl"/>
        </w:rPr>
        <w:t>de alguna de las</w:t>
      </w:r>
      <w:r w:rsidRPr="008D542B">
        <w:rPr>
          <w:rFonts w:ascii="Palatino Linotype" w:hAnsi="Palatino Linotype"/>
          <w:sz w:val="24"/>
          <w:szCs w:val="17"/>
          <w:lang w:eastAsia="es-ES_tradnl"/>
        </w:rPr>
        <w:t xml:space="preserve"> fracciones del artículo 140 de la </w:t>
      </w:r>
      <w:r w:rsidRPr="008D542B">
        <w:rPr>
          <w:rFonts w:ascii="Palatino Linotype" w:hAnsi="Palatino Linotype" w:cs="Arial"/>
          <w:sz w:val="24"/>
        </w:rPr>
        <w:t xml:space="preserve">Ley de </w:t>
      </w:r>
      <w:r w:rsidRPr="008D542B">
        <w:rPr>
          <w:rFonts w:ascii="Palatino Linotype" w:hAnsi="Palatino Linotype"/>
          <w:sz w:val="24"/>
          <w:szCs w:val="17"/>
          <w:lang w:eastAsia="es-ES_tradnl"/>
        </w:rPr>
        <w:t xml:space="preserve">Transparencia y Acceso a la Información Pública del Estado de México y Municipios; lo anterior, en apego a lo establecido </w:t>
      </w:r>
      <w:r w:rsidRPr="008D542B">
        <w:rPr>
          <w:rFonts w:ascii="Palatino Linotype" w:hAnsi="Palatino Linotype" w:cs="Arial"/>
          <w:sz w:val="24"/>
        </w:rPr>
        <w:t>en los artículos 49 fracción VIII y 132 de la Ley de la materia, así como los numerales segundo, fracción XVIII, y del Cuarto al Décimo Primero de los Lineamientos Generales en materia de Clasificación y Desclasificación de la Información, así como para la elaboración de Versiones Públicas, que literalmente expresan:</w:t>
      </w:r>
    </w:p>
    <w:p w:rsidR="008D542B" w:rsidRPr="00F70233" w:rsidRDefault="008D542B" w:rsidP="00F70233">
      <w:pPr>
        <w:spacing w:before="100" w:beforeAutospacing="1" w:after="100" w:afterAutospacing="1" w:line="240" w:lineRule="auto"/>
        <w:ind w:left="851" w:right="851"/>
        <w:jc w:val="center"/>
        <w:rPr>
          <w:rFonts w:ascii="Palatino Linotype" w:hAnsi="Palatino Linotype" w:cs="Arial"/>
          <w:b/>
          <w:i/>
          <w:sz w:val="20"/>
        </w:rPr>
      </w:pPr>
      <w:r w:rsidRPr="00F70233">
        <w:rPr>
          <w:rFonts w:ascii="Palatino Linotype" w:hAnsi="Palatino Linotype" w:cs="Arial"/>
          <w:b/>
          <w:i/>
          <w:sz w:val="20"/>
        </w:rPr>
        <w:t>Ley de Transparencia y Acceso a la Información Pública del Estado de México y Municipios</w:t>
      </w:r>
    </w:p>
    <w:p w:rsidR="008D542B" w:rsidRPr="00F70233" w:rsidRDefault="008D542B" w:rsidP="00F70233">
      <w:pPr>
        <w:tabs>
          <w:tab w:val="left" w:pos="851"/>
        </w:tabs>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i/>
          <w:sz w:val="20"/>
          <w:lang w:eastAsia="es-MX"/>
        </w:rPr>
        <w:t>“</w:t>
      </w:r>
      <w:r w:rsidRPr="00F70233">
        <w:rPr>
          <w:rFonts w:ascii="Palatino Linotype" w:hAnsi="Palatino Linotype" w:cs="Arial"/>
          <w:b/>
          <w:i/>
          <w:sz w:val="20"/>
          <w:lang w:eastAsia="es-MX"/>
        </w:rPr>
        <w:t xml:space="preserve">Artículo 49. </w:t>
      </w:r>
      <w:r w:rsidRPr="00F70233">
        <w:rPr>
          <w:rFonts w:ascii="Palatino Linotype" w:hAnsi="Palatino Linotype" w:cs="Arial"/>
          <w:i/>
          <w:sz w:val="20"/>
          <w:lang w:eastAsia="es-MX"/>
        </w:rPr>
        <w:t xml:space="preserve">Los </w:t>
      </w:r>
      <w:r w:rsidRPr="00F70233">
        <w:rPr>
          <w:rFonts w:ascii="Palatino Linotype" w:hAnsi="Palatino Linotype" w:cs="Arial"/>
          <w:i/>
          <w:sz w:val="20"/>
        </w:rPr>
        <w:t>Comités</w:t>
      </w:r>
      <w:r w:rsidRPr="00F70233">
        <w:rPr>
          <w:rFonts w:ascii="Palatino Linotype" w:hAnsi="Palatino Linotype" w:cs="Arial"/>
          <w:i/>
          <w:sz w:val="20"/>
          <w:lang w:eastAsia="es-MX"/>
        </w:rPr>
        <w:t xml:space="preserve"> de </w:t>
      </w:r>
      <w:r w:rsidRPr="00F70233">
        <w:rPr>
          <w:rFonts w:ascii="Palatino Linotype" w:hAnsi="Palatino Linotype" w:cs="Arial"/>
          <w:bCs/>
          <w:i/>
          <w:sz w:val="20"/>
        </w:rPr>
        <w:t>Transparencia</w:t>
      </w:r>
      <w:r w:rsidRPr="00F70233">
        <w:rPr>
          <w:rFonts w:ascii="Palatino Linotype" w:hAnsi="Palatino Linotype" w:cs="Arial"/>
          <w:i/>
          <w:sz w:val="20"/>
          <w:lang w:eastAsia="es-MX"/>
        </w:rPr>
        <w:t xml:space="preserve"> </w:t>
      </w:r>
      <w:r w:rsidRPr="00F70233">
        <w:rPr>
          <w:rFonts w:ascii="Palatino Linotype" w:hAnsi="Palatino Linotype"/>
          <w:i/>
          <w:sz w:val="20"/>
        </w:rPr>
        <w:t>tendrán</w:t>
      </w:r>
      <w:r w:rsidRPr="00F70233">
        <w:rPr>
          <w:rFonts w:ascii="Palatino Linotype" w:hAnsi="Palatino Linotype" w:cs="Arial"/>
          <w:i/>
          <w:sz w:val="20"/>
          <w:lang w:eastAsia="es-MX"/>
        </w:rPr>
        <w:t xml:space="preserve"> las siguientes atribuciones: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VIII.</w:t>
      </w:r>
      <w:r w:rsidRPr="00F70233">
        <w:rPr>
          <w:rFonts w:ascii="Palatino Linotype" w:hAnsi="Palatino Linotype" w:cs="Arial"/>
          <w:i/>
          <w:sz w:val="20"/>
          <w:lang w:eastAsia="es-MX"/>
        </w:rPr>
        <w:t xml:space="preserve"> Aprobar, </w:t>
      </w:r>
      <w:r w:rsidRPr="00F70233">
        <w:rPr>
          <w:rFonts w:ascii="Palatino Linotype" w:hAnsi="Palatino Linotype" w:cs="Arial"/>
          <w:i/>
          <w:sz w:val="20"/>
        </w:rPr>
        <w:t>modificar</w:t>
      </w:r>
      <w:r w:rsidRPr="00F70233">
        <w:rPr>
          <w:rFonts w:ascii="Palatino Linotype" w:hAnsi="Palatino Linotype" w:cs="Arial"/>
          <w:i/>
          <w:sz w:val="20"/>
          <w:lang w:eastAsia="es-MX"/>
        </w:rPr>
        <w:t xml:space="preserve"> o revocar la clasificación de la información;</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Artículo 132.</w:t>
      </w:r>
      <w:r w:rsidRPr="00F70233">
        <w:rPr>
          <w:rFonts w:ascii="Palatino Linotype" w:hAnsi="Palatino Linotype" w:cs="Arial"/>
          <w:i/>
          <w:sz w:val="20"/>
          <w:lang w:eastAsia="es-MX"/>
        </w:rPr>
        <w:t xml:space="preserve"> La </w:t>
      </w:r>
      <w:r w:rsidRPr="00F70233">
        <w:rPr>
          <w:rFonts w:ascii="Palatino Linotype" w:hAnsi="Palatino Linotype" w:cs="Arial"/>
          <w:bCs/>
          <w:i/>
          <w:sz w:val="20"/>
        </w:rPr>
        <w:t>clasificación</w:t>
      </w:r>
      <w:r w:rsidRPr="00F70233">
        <w:rPr>
          <w:rFonts w:ascii="Palatino Linotype" w:hAnsi="Palatino Linotype" w:cs="Arial"/>
          <w:i/>
          <w:sz w:val="20"/>
          <w:lang w:eastAsia="es-MX"/>
        </w:rPr>
        <w:t xml:space="preserve"> de la información se llevará a cabo en el momento en que:</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II.</w:t>
      </w:r>
      <w:r w:rsidRPr="00F70233">
        <w:rPr>
          <w:rFonts w:ascii="Palatino Linotype" w:hAnsi="Palatino Linotype" w:cs="Arial"/>
          <w:i/>
          <w:sz w:val="20"/>
          <w:lang w:eastAsia="es-MX"/>
        </w:rPr>
        <w:t xml:space="preserve"> Se determine </w:t>
      </w:r>
      <w:r w:rsidRPr="00F70233">
        <w:rPr>
          <w:rFonts w:ascii="Palatino Linotype" w:hAnsi="Palatino Linotype" w:cs="Arial"/>
          <w:bCs/>
          <w:i/>
          <w:sz w:val="20"/>
        </w:rPr>
        <w:t>mediante</w:t>
      </w:r>
      <w:r w:rsidRPr="00F70233">
        <w:rPr>
          <w:rFonts w:ascii="Palatino Linotype" w:hAnsi="Palatino Linotype" w:cs="Arial"/>
          <w:i/>
          <w:sz w:val="20"/>
          <w:lang w:eastAsia="es-MX"/>
        </w:rPr>
        <w:t xml:space="preserve"> resolución de autoridad competente; o (…)”</w:t>
      </w:r>
    </w:p>
    <w:p w:rsidR="008D542B" w:rsidRPr="00F70233" w:rsidRDefault="008D542B" w:rsidP="00F70233">
      <w:pPr>
        <w:spacing w:before="100" w:beforeAutospacing="1" w:after="100" w:afterAutospacing="1" w:line="240" w:lineRule="auto"/>
        <w:ind w:left="851" w:right="851"/>
        <w:jc w:val="center"/>
        <w:rPr>
          <w:rFonts w:ascii="Palatino Linotype" w:hAnsi="Palatino Linotype" w:cs="Arial"/>
          <w:b/>
          <w:i/>
          <w:sz w:val="20"/>
          <w:lang w:eastAsia="es-MX"/>
        </w:rPr>
      </w:pPr>
      <w:r w:rsidRPr="00F70233">
        <w:rPr>
          <w:rFonts w:ascii="Palatino Linotype" w:hAnsi="Palatino Linotype" w:cs="Arial"/>
          <w:b/>
          <w:i/>
          <w:sz w:val="20"/>
          <w:lang w:eastAsia="es-MX"/>
        </w:rPr>
        <w:t xml:space="preserve">Lineamientos Generales en materia de Clasificación y Desclasificación de la </w:t>
      </w:r>
      <w:r w:rsidRPr="00F70233">
        <w:rPr>
          <w:rFonts w:ascii="Palatino Linotype" w:hAnsi="Palatino Linotype" w:cs="Arial"/>
          <w:b/>
          <w:i/>
          <w:sz w:val="20"/>
        </w:rPr>
        <w:t>Información</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i/>
          <w:sz w:val="20"/>
          <w:lang w:eastAsia="es-MX"/>
        </w:rPr>
        <w:lastRenderedPageBreak/>
        <w:t xml:space="preserve">“Cuarto. Para clasificar la información como reservada o confidencial, de manera total o parcial, el titular del </w:t>
      </w:r>
      <w:r w:rsidRPr="00F70233">
        <w:rPr>
          <w:rFonts w:ascii="Palatino Linotype" w:hAnsi="Palatino Linotype" w:cs="Arial"/>
          <w:bCs/>
          <w:i/>
          <w:sz w:val="20"/>
        </w:rPr>
        <w:t>área</w:t>
      </w:r>
      <w:r w:rsidRPr="00F70233">
        <w:rPr>
          <w:rFonts w:ascii="Palatino Linotype" w:hAnsi="Palatino Linotype" w:cs="Arial"/>
          <w:i/>
          <w:sz w:val="20"/>
          <w:lang w:eastAsia="es-MX"/>
        </w:rPr>
        <w:t xml:space="preserve"> del sujeto </w:t>
      </w:r>
      <w:r w:rsidRPr="00F70233">
        <w:rPr>
          <w:rFonts w:ascii="Palatino Linotype" w:hAnsi="Palatino Linotype" w:cs="Arial"/>
          <w:i/>
          <w:sz w:val="20"/>
        </w:rPr>
        <w:t>obligado</w:t>
      </w:r>
      <w:r w:rsidRPr="00F70233">
        <w:rPr>
          <w:rFonts w:ascii="Palatino Linotype" w:hAnsi="Palatino Linotype" w:cs="Arial"/>
          <w:i/>
          <w:sz w:val="20"/>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i/>
          <w:sz w:val="20"/>
          <w:lang w:eastAsia="es-MX"/>
        </w:rPr>
        <w:t xml:space="preserve">Los sujetos obligados deberán aplicar, de manera estricta, las excepciones al derecho de acceso a la </w:t>
      </w:r>
      <w:r w:rsidRPr="00F70233">
        <w:rPr>
          <w:rFonts w:ascii="Palatino Linotype" w:hAnsi="Palatino Linotype" w:cs="Arial"/>
          <w:bCs/>
          <w:i/>
          <w:sz w:val="20"/>
        </w:rPr>
        <w:t>información</w:t>
      </w:r>
      <w:r w:rsidRPr="00F70233">
        <w:rPr>
          <w:rFonts w:ascii="Palatino Linotype" w:hAnsi="Palatino Linotype" w:cs="Arial"/>
          <w:i/>
          <w:sz w:val="20"/>
          <w:lang w:eastAsia="es-MX"/>
        </w:rPr>
        <w:t xml:space="preserve"> y sólo </w:t>
      </w:r>
      <w:r w:rsidRPr="00F70233">
        <w:rPr>
          <w:rFonts w:ascii="Palatino Linotype" w:hAnsi="Palatino Linotype" w:cs="Arial"/>
          <w:i/>
          <w:sz w:val="20"/>
        </w:rPr>
        <w:t>podrán</w:t>
      </w:r>
      <w:r w:rsidRPr="00F70233">
        <w:rPr>
          <w:rFonts w:ascii="Palatino Linotype" w:hAnsi="Palatino Linotype" w:cs="Arial"/>
          <w:i/>
          <w:sz w:val="20"/>
          <w:lang w:eastAsia="es-MX"/>
        </w:rPr>
        <w:t xml:space="preserve"> invocarlas cuando acrediten su procedencia.</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Quinto.</w:t>
      </w:r>
      <w:r w:rsidRPr="00F70233">
        <w:rPr>
          <w:rFonts w:ascii="Palatino Linotype" w:hAnsi="Palatino Linotype" w:cs="Arial"/>
          <w:i/>
          <w:sz w:val="20"/>
          <w:lang w:eastAsia="es-MX"/>
        </w:rPr>
        <w:t xml:space="preserve"> La carga de la prueba para justificar toda negativa de acceso a la información, por actualizarse cualquiera de los supuestos de clasificación previstos en la Ley General, la Ley Federal y leyes estatales, </w:t>
      </w:r>
      <w:r w:rsidRPr="00F70233">
        <w:rPr>
          <w:rFonts w:ascii="Palatino Linotype" w:hAnsi="Palatino Linotype" w:cs="Arial"/>
          <w:i/>
          <w:sz w:val="20"/>
        </w:rPr>
        <w:t>corresponderá</w:t>
      </w:r>
      <w:r w:rsidRPr="00F70233">
        <w:rPr>
          <w:rFonts w:ascii="Palatino Linotype" w:hAnsi="Palatino Linotype" w:cs="Arial"/>
          <w:i/>
          <w:sz w:val="20"/>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Sexto.</w:t>
      </w:r>
      <w:r w:rsidRPr="00F70233">
        <w:rPr>
          <w:rFonts w:ascii="Palatino Linotype" w:hAnsi="Palatino Linotype" w:cs="Arial"/>
          <w:i/>
          <w:sz w:val="20"/>
          <w:lang w:eastAsia="es-MX"/>
        </w:rPr>
        <w:t xml:space="preserve"> Los sujetos obligados no podrán emitir acuerdos de carácter general ni particular que clasifiquen </w:t>
      </w:r>
      <w:r w:rsidRPr="00F70233">
        <w:rPr>
          <w:rFonts w:ascii="Palatino Linotype" w:hAnsi="Palatino Linotype" w:cs="Arial"/>
          <w:bCs/>
          <w:i/>
          <w:sz w:val="20"/>
        </w:rPr>
        <w:t>documentos</w:t>
      </w:r>
      <w:r w:rsidRPr="00F70233">
        <w:rPr>
          <w:rFonts w:ascii="Palatino Linotype" w:hAnsi="Palatino Linotype" w:cs="Arial"/>
          <w:i/>
          <w:sz w:val="20"/>
          <w:lang w:eastAsia="es-MX"/>
        </w:rPr>
        <w:t xml:space="preserve"> o expedientes como reservados, ni clasificar documentos antes de que se genere la información o cuando éstos no obren en sus archivos.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i/>
          <w:sz w:val="20"/>
          <w:lang w:eastAsia="es-MX"/>
        </w:rPr>
        <w:t xml:space="preserve">La clasificación de </w:t>
      </w:r>
      <w:r w:rsidRPr="00F70233">
        <w:rPr>
          <w:rFonts w:ascii="Palatino Linotype" w:hAnsi="Palatino Linotype" w:cs="Arial"/>
          <w:i/>
          <w:sz w:val="20"/>
        </w:rPr>
        <w:t>información</w:t>
      </w:r>
      <w:r w:rsidRPr="00F70233">
        <w:rPr>
          <w:rFonts w:ascii="Palatino Linotype" w:hAnsi="Palatino Linotype" w:cs="Arial"/>
          <w:i/>
          <w:sz w:val="20"/>
          <w:lang w:eastAsia="es-MX"/>
        </w:rPr>
        <w:t xml:space="preserve"> se realizará conforme a un análisis caso por caso, mediante la aplicación </w:t>
      </w:r>
      <w:r w:rsidRPr="00F70233">
        <w:rPr>
          <w:rFonts w:ascii="Palatino Linotype" w:hAnsi="Palatino Linotype" w:cs="Arial"/>
          <w:bCs/>
          <w:i/>
          <w:sz w:val="20"/>
        </w:rPr>
        <w:t>de</w:t>
      </w:r>
      <w:r w:rsidRPr="00F70233">
        <w:rPr>
          <w:rFonts w:ascii="Palatino Linotype" w:hAnsi="Palatino Linotype" w:cs="Arial"/>
          <w:i/>
          <w:sz w:val="20"/>
          <w:lang w:eastAsia="es-MX"/>
        </w:rPr>
        <w:t xml:space="preserve"> la prueba de daño y de interés público.</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Séptimo.</w:t>
      </w:r>
      <w:r w:rsidRPr="00F70233">
        <w:rPr>
          <w:rFonts w:ascii="Palatino Linotype" w:hAnsi="Palatino Linotype" w:cs="Arial"/>
          <w:i/>
          <w:sz w:val="20"/>
          <w:lang w:eastAsia="es-MX"/>
        </w:rPr>
        <w:t xml:space="preserve"> La clasificación </w:t>
      </w:r>
      <w:r w:rsidRPr="00F70233">
        <w:rPr>
          <w:rFonts w:ascii="Palatino Linotype" w:hAnsi="Palatino Linotype" w:cs="Arial"/>
          <w:bCs/>
          <w:i/>
          <w:sz w:val="20"/>
        </w:rPr>
        <w:t>de</w:t>
      </w:r>
      <w:r w:rsidRPr="00F70233">
        <w:rPr>
          <w:rFonts w:ascii="Palatino Linotype" w:hAnsi="Palatino Linotype" w:cs="Arial"/>
          <w:i/>
          <w:sz w:val="20"/>
          <w:lang w:eastAsia="es-MX"/>
        </w:rPr>
        <w:t xml:space="preserve"> la </w:t>
      </w:r>
      <w:r w:rsidRPr="00F70233">
        <w:rPr>
          <w:rFonts w:ascii="Palatino Linotype" w:hAnsi="Palatino Linotype" w:cs="Arial"/>
          <w:i/>
          <w:sz w:val="20"/>
        </w:rPr>
        <w:t>información</w:t>
      </w:r>
      <w:r w:rsidRPr="00F70233">
        <w:rPr>
          <w:rFonts w:ascii="Palatino Linotype" w:hAnsi="Palatino Linotype" w:cs="Arial"/>
          <w:i/>
          <w:sz w:val="20"/>
          <w:lang w:eastAsia="es-MX"/>
        </w:rPr>
        <w:t xml:space="preserve"> se llevará a cabo en el momento en que:</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I.</w:t>
      </w:r>
      <w:r w:rsidRPr="00F70233">
        <w:rPr>
          <w:rFonts w:ascii="Palatino Linotype" w:hAnsi="Palatino Linotype" w:cs="Arial"/>
          <w:i/>
          <w:sz w:val="20"/>
          <w:lang w:eastAsia="es-MX"/>
        </w:rPr>
        <w:t xml:space="preserve"> Se reciba una </w:t>
      </w:r>
      <w:r w:rsidRPr="00F70233">
        <w:rPr>
          <w:rFonts w:ascii="Palatino Linotype" w:hAnsi="Palatino Linotype" w:cs="Arial"/>
          <w:i/>
          <w:sz w:val="20"/>
        </w:rPr>
        <w:t>solicitud</w:t>
      </w:r>
      <w:r w:rsidRPr="00F70233">
        <w:rPr>
          <w:rFonts w:ascii="Palatino Linotype" w:hAnsi="Palatino Linotype" w:cs="Arial"/>
          <w:i/>
          <w:sz w:val="20"/>
          <w:lang w:eastAsia="es-MX"/>
        </w:rPr>
        <w:t xml:space="preserve"> de acceso a la información;</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II.</w:t>
      </w:r>
      <w:r w:rsidRPr="00F70233">
        <w:rPr>
          <w:rFonts w:ascii="Palatino Linotype" w:hAnsi="Palatino Linotype" w:cs="Arial"/>
          <w:i/>
          <w:sz w:val="20"/>
          <w:lang w:eastAsia="es-MX"/>
        </w:rPr>
        <w:t xml:space="preserve"> Se determine </w:t>
      </w:r>
      <w:r w:rsidRPr="00F70233">
        <w:rPr>
          <w:rFonts w:ascii="Palatino Linotype" w:hAnsi="Palatino Linotype" w:cs="Arial"/>
          <w:bCs/>
          <w:i/>
          <w:sz w:val="20"/>
        </w:rPr>
        <w:t>mediante</w:t>
      </w:r>
      <w:r w:rsidRPr="00F70233">
        <w:rPr>
          <w:rFonts w:ascii="Palatino Linotype" w:hAnsi="Palatino Linotype" w:cs="Arial"/>
          <w:i/>
          <w:sz w:val="20"/>
          <w:lang w:eastAsia="es-MX"/>
        </w:rPr>
        <w:t xml:space="preserve"> resolución de autoridad competente, o</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III.</w:t>
      </w:r>
      <w:r w:rsidRPr="00F70233">
        <w:rPr>
          <w:rFonts w:ascii="Palatino Linotype" w:hAnsi="Palatino Linotype" w:cs="Arial"/>
          <w:i/>
          <w:sz w:val="20"/>
          <w:lang w:eastAsia="es-MX"/>
        </w:rPr>
        <w:t xml:space="preserve"> Se generen </w:t>
      </w:r>
      <w:r w:rsidRPr="00F70233">
        <w:rPr>
          <w:rFonts w:ascii="Palatino Linotype" w:hAnsi="Palatino Linotype" w:cs="Arial"/>
          <w:bCs/>
          <w:i/>
          <w:sz w:val="20"/>
        </w:rPr>
        <w:t>versiones</w:t>
      </w:r>
      <w:r w:rsidRPr="00F70233">
        <w:rPr>
          <w:rFonts w:ascii="Palatino Linotype" w:hAnsi="Palatino Linotype" w:cs="Arial"/>
          <w:i/>
          <w:sz w:val="20"/>
          <w:lang w:eastAsia="es-MX"/>
        </w:rPr>
        <w:t xml:space="preserve"> públicas para dar cumplimiento a las obligaciones de transparencia </w:t>
      </w:r>
      <w:r w:rsidRPr="00F70233">
        <w:rPr>
          <w:rFonts w:ascii="Palatino Linotype" w:hAnsi="Palatino Linotype" w:cs="Arial"/>
          <w:bCs/>
          <w:i/>
          <w:sz w:val="20"/>
        </w:rPr>
        <w:t>previstas</w:t>
      </w:r>
      <w:r w:rsidRPr="00F70233">
        <w:rPr>
          <w:rFonts w:ascii="Palatino Linotype" w:hAnsi="Palatino Linotype" w:cs="Arial"/>
          <w:i/>
          <w:sz w:val="20"/>
          <w:lang w:eastAsia="es-MX"/>
        </w:rPr>
        <w:t xml:space="preserve"> en la Ley General, la Ley Federal y las correspondientes de las entidades federativas.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i/>
          <w:sz w:val="20"/>
          <w:lang w:eastAsia="es-MX"/>
        </w:rPr>
        <w:t xml:space="preserve">Los titulares de las áreas deberán revisar la clasificación al momento de la recepción de una solicitud de </w:t>
      </w:r>
      <w:r w:rsidRPr="00F70233">
        <w:rPr>
          <w:rFonts w:ascii="Palatino Linotype" w:hAnsi="Palatino Linotype" w:cs="Arial"/>
          <w:bCs/>
          <w:i/>
          <w:sz w:val="20"/>
        </w:rPr>
        <w:t>acceso</w:t>
      </w:r>
      <w:r w:rsidRPr="00F70233">
        <w:rPr>
          <w:rFonts w:ascii="Palatino Linotype" w:hAnsi="Palatino Linotype" w:cs="Arial"/>
          <w:i/>
          <w:sz w:val="20"/>
          <w:lang w:eastAsia="es-MX"/>
        </w:rPr>
        <w:t xml:space="preserve"> a la información, para verificar si encuadra en una causal de reserva o de confidencialidad.</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lastRenderedPageBreak/>
        <w:t>Octavo.</w:t>
      </w:r>
      <w:r w:rsidRPr="00F70233">
        <w:rPr>
          <w:rFonts w:ascii="Palatino Linotype" w:hAnsi="Palatino Linotype" w:cs="Arial"/>
          <w:i/>
          <w:sz w:val="20"/>
          <w:lang w:eastAsia="es-MX"/>
        </w:rPr>
        <w:t xml:space="preserve"> Para fundar la clasificación de la información se debe señalar el artículo, fracción, inciso, párrafo o numeral de la ley o tratado internacional suscrito por el Estado mexicano que </w:t>
      </w:r>
      <w:r w:rsidRPr="00F70233">
        <w:rPr>
          <w:rFonts w:ascii="Palatino Linotype" w:hAnsi="Palatino Linotype" w:cs="Arial"/>
          <w:bCs/>
          <w:i/>
          <w:sz w:val="20"/>
        </w:rPr>
        <w:t>expresamente</w:t>
      </w:r>
      <w:r w:rsidRPr="00F70233">
        <w:rPr>
          <w:rFonts w:ascii="Palatino Linotype" w:hAnsi="Palatino Linotype" w:cs="Arial"/>
          <w:i/>
          <w:sz w:val="20"/>
          <w:lang w:eastAsia="es-MX"/>
        </w:rPr>
        <w:t xml:space="preserve"> le otorga el carácter de reservada o confidencial.</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szCs w:val="24"/>
          <w:lang w:eastAsia="es-ES"/>
        </w:rPr>
      </w:pPr>
      <w:r w:rsidRPr="00F70233">
        <w:rPr>
          <w:rFonts w:ascii="Palatino Linotype" w:hAnsi="Palatino Linotype" w:cs="Arial"/>
          <w:i/>
          <w:sz w:val="20"/>
          <w:lang w:eastAsia="es-MX"/>
        </w:rPr>
        <w:t xml:space="preserve">Para </w:t>
      </w:r>
      <w:r w:rsidRPr="00F70233">
        <w:rPr>
          <w:rFonts w:ascii="Palatino Linotype" w:hAnsi="Palatino Linotype" w:cs="Arial"/>
          <w:bCs/>
          <w:i/>
          <w:sz w:val="20"/>
        </w:rPr>
        <w:t xml:space="preserve">motivar la clasificación se deberán señalar las razones o circunstancias especiales que lo </w:t>
      </w:r>
      <w:r w:rsidRPr="00F70233">
        <w:rPr>
          <w:rFonts w:ascii="Palatino Linotype" w:hAnsi="Palatino Linotype" w:cs="Arial"/>
          <w:i/>
          <w:sz w:val="20"/>
          <w:lang w:eastAsia="es-MX"/>
        </w:rPr>
        <w:t>llevaron</w:t>
      </w:r>
      <w:r w:rsidRPr="00F70233">
        <w:rPr>
          <w:rFonts w:ascii="Palatino Linotype" w:hAnsi="Palatino Linotype" w:cs="Arial"/>
          <w:bCs/>
          <w:i/>
          <w:sz w:val="20"/>
        </w:rPr>
        <w:t xml:space="preserve"> a concluir que el caso particular se ajusta al supuesto previsto por la norma legal invocada como fundamento.</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En caso de referirse a información reservada, la motivación de la clasificación también deberá comprender las circunstancias que justifican el establecimiento de determinado plazo </w:t>
      </w:r>
      <w:r w:rsidRPr="00F70233">
        <w:rPr>
          <w:rFonts w:ascii="Palatino Linotype" w:hAnsi="Palatino Linotype" w:cs="Arial"/>
          <w:i/>
          <w:sz w:val="20"/>
          <w:lang w:eastAsia="es-MX"/>
        </w:rPr>
        <w:t>de</w:t>
      </w:r>
      <w:r w:rsidRPr="00F70233">
        <w:rPr>
          <w:rFonts w:ascii="Palatino Linotype" w:hAnsi="Palatino Linotype" w:cs="Arial"/>
          <w:bCs/>
          <w:i/>
          <w:sz w:val="20"/>
        </w:rPr>
        <w:t xml:space="preserve"> </w:t>
      </w:r>
      <w:r w:rsidRPr="00F70233">
        <w:rPr>
          <w:rFonts w:ascii="Palatino Linotype" w:hAnsi="Palatino Linotype" w:cs="Arial"/>
          <w:i/>
          <w:sz w:val="20"/>
          <w:lang w:eastAsia="es-MX"/>
        </w:rPr>
        <w:t>reserva</w:t>
      </w:r>
      <w:r w:rsidRPr="00F70233">
        <w:rPr>
          <w:rFonts w:ascii="Palatino Linotype" w:hAnsi="Palatino Linotype" w:cs="Arial"/>
          <w:bCs/>
          <w:i/>
          <w:sz w:val="20"/>
        </w:rPr>
        <w:t>.</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i/>
          <w:sz w:val="20"/>
          <w:lang w:eastAsia="es-MX"/>
        </w:rPr>
        <w:t>Tratándose</w:t>
      </w:r>
      <w:r w:rsidRPr="00F70233">
        <w:rPr>
          <w:rFonts w:ascii="Palatino Linotype" w:hAnsi="Palatino Linotype" w:cs="Arial"/>
          <w:bCs/>
          <w:i/>
          <w:sz w:val="20"/>
        </w:rPr>
        <w:t xml:space="preserve"> de información clasificada como confidencial respecto de la cual se haya determinado </w:t>
      </w:r>
      <w:r w:rsidRPr="00F70233">
        <w:rPr>
          <w:rFonts w:ascii="Palatino Linotype" w:hAnsi="Palatino Linotype" w:cs="Arial"/>
          <w:i/>
          <w:sz w:val="20"/>
          <w:lang w:eastAsia="es-MX"/>
        </w:rPr>
        <w:t>su</w:t>
      </w:r>
      <w:r w:rsidRPr="00F70233">
        <w:rPr>
          <w:rFonts w:ascii="Palatino Linotype" w:hAnsi="Palatino Linotype" w:cs="Arial"/>
          <w:bCs/>
          <w:i/>
          <w:sz w:val="20"/>
        </w:rPr>
        <w:t xml:space="preserve"> conservación permanente por tener valor histórico, ésta conservará tal carácter de conformidad con la normativa aplicable en materia de archivos.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Cs/>
          <w:i/>
          <w:sz w:val="20"/>
        </w:rPr>
        <w:t>Los documentos contenidos</w:t>
      </w:r>
      <w:r w:rsidRPr="00F70233">
        <w:rPr>
          <w:rFonts w:ascii="Palatino Linotype" w:hAnsi="Palatino Linotype" w:cs="Arial"/>
          <w:i/>
          <w:sz w:val="20"/>
          <w:lang w:eastAsia="es-MX"/>
        </w:rPr>
        <w:t xml:space="preserve"> en los archivos históricos y los identificados como históricos confidenciales no serán susceptibles de clasificación como reservados.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Noveno.</w:t>
      </w:r>
      <w:r w:rsidRPr="00F70233">
        <w:rPr>
          <w:rFonts w:ascii="Palatino Linotype" w:hAnsi="Palatino Linotype" w:cs="Arial"/>
          <w:i/>
          <w:sz w:val="2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Décimo.</w:t>
      </w:r>
      <w:r w:rsidRPr="00F70233">
        <w:rPr>
          <w:rFonts w:ascii="Palatino Linotype" w:hAnsi="Palatino Linotype" w:cs="Arial"/>
          <w:i/>
          <w:sz w:val="20"/>
          <w:lang w:eastAsia="es-MX"/>
        </w:rPr>
        <w:t xml:space="preserve"> Los titulares de las áreas, deberán tener conocimiento y llevar un registro del personal que, por la naturaleza de sus atribuciones, tenga acceso a los </w:t>
      </w:r>
      <w:r w:rsidRPr="00F70233">
        <w:rPr>
          <w:rFonts w:ascii="Palatino Linotype" w:hAnsi="Palatino Linotype" w:cs="Arial"/>
          <w:i/>
          <w:sz w:val="20"/>
        </w:rPr>
        <w:t>documentos</w:t>
      </w:r>
      <w:r w:rsidRPr="00F70233">
        <w:rPr>
          <w:rFonts w:ascii="Palatino Linotype" w:hAnsi="Palatino Linotype" w:cs="Arial"/>
          <w:i/>
          <w:sz w:val="20"/>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i/>
          <w:sz w:val="20"/>
          <w:lang w:eastAsia="es-MX"/>
        </w:rPr>
        <w:t xml:space="preserve">En ausencia de los titulares de las áreas, la información será clasificada o desclasificada por la persona que lo supla, en términos de la normativa </w:t>
      </w:r>
      <w:r w:rsidRPr="00F70233">
        <w:rPr>
          <w:rFonts w:ascii="Palatino Linotype" w:hAnsi="Palatino Linotype" w:cs="Arial"/>
          <w:i/>
          <w:sz w:val="20"/>
        </w:rPr>
        <w:t>que</w:t>
      </w:r>
      <w:r w:rsidRPr="00F70233">
        <w:rPr>
          <w:rFonts w:ascii="Palatino Linotype" w:hAnsi="Palatino Linotype" w:cs="Arial"/>
          <w:i/>
          <w:sz w:val="20"/>
          <w:lang w:eastAsia="es-MX"/>
        </w:rPr>
        <w:t xml:space="preserve"> rija la actuación del sujeto obligado.</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i/>
          <w:sz w:val="20"/>
          <w:lang w:eastAsia="es-MX"/>
        </w:rPr>
      </w:pPr>
      <w:r w:rsidRPr="00F70233">
        <w:rPr>
          <w:rFonts w:ascii="Palatino Linotype" w:hAnsi="Palatino Linotype" w:cs="Arial"/>
          <w:b/>
          <w:i/>
          <w:sz w:val="20"/>
          <w:lang w:eastAsia="es-MX"/>
        </w:rPr>
        <w:t>Décimo primero.</w:t>
      </w:r>
      <w:r w:rsidRPr="00F70233">
        <w:rPr>
          <w:rFonts w:ascii="Palatino Linotype" w:hAnsi="Palatino Linotype" w:cs="Arial"/>
          <w:i/>
          <w:sz w:val="20"/>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D542B" w:rsidRPr="00785058" w:rsidRDefault="008D542B" w:rsidP="008D542B">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Arial"/>
          <w:sz w:val="28"/>
          <w:szCs w:val="24"/>
          <w:lang w:eastAsia="es-ES"/>
        </w:rPr>
      </w:pPr>
      <w:r w:rsidRPr="00785058">
        <w:rPr>
          <w:rFonts w:ascii="Palatino Linotype" w:hAnsi="Palatino Linotype" w:cs="Arial"/>
          <w:sz w:val="24"/>
        </w:rPr>
        <w:lastRenderedPageBreak/>
        <w:t>Por lo tanto,</w:t>
      </w:r>
      <w:r w:rsidR="00785058" w:rsidRPr="00785058">
        <w:rPr>
          <w:rFonts w:ascii="Palatino Linotype" w:hAnsi="Palatino Linotype"/>
          <w:sz w:val="24"/>
        </w:rPr>
        <w:t xml:space="preserve"> el Sujeto Obligado debió</w:t>
      </w:r>
      <w:r w:rsidRPr="00785058">
        <w:rPr>
          <w:rFonts w:ascii="Palatino Linotype" w:hAnsi="Palatino Linotype"/>
          <w:sz w:val="24"/>
        </w:rPr>
        <w:t xml:space="preserve"> seguir el procedimiento legal establecido para su </w:t>
      </w:r>
      <w:r w:rsidRPr="00785058">
        <w:rPr>
          <w:rFonts w:ascii="Palatino Linotype" w:hAnsi="Palatino Linotype"/>
          <w:sz w:val="24"/>
          <w:lang w:eastAsia="es-MX"/>
        </w:rPr>
        <w:t>clasificación</w:t>
      </w:r>
      <w:r w:rsidRPr="00785058">
        <w:rPr>
          <w:rFonts w:ascii="Palatino Linotype" w:hAnsi="Palatino Linotype"/>
          <w:sz w:val="24"/>
        </w:rPr>
        <w:t>, esto es, que su Comité de</w:t>
      </w:r>
      <w:r w:rsidRPr="00785058">
        <w:rPr>
          <w:rFonts w:ascii="Palatino Linotype" w:hAnsi="Palatino Linotype" w:cs="Arial"/>
          <w:sz w:val="24"/>
        </w:rPr>
        <w:t xml:space="preserve"> Transparencia emita un </w:t>
      </w:r>
      <w:r w:rsidRPr="00785058">
        <w:rPr>
          <w:rFonts w:ascii="Palatino Linotype" w:hAnsi="Palatino Linotype"/>
          <w:bCs/>
          <w:sz w:val="24"/>
        </w:rPr>
        <w:t>Acuerdo</w:t>
      </w:r>
      <w:r w:rsidRPr="00785058">
        <w:rPr>
          <w:rFonts w:ascii="Palatino Linotype" w:hAnsi="Palatino Linotype" w:cs="Arial"/>
          <w:sz w:val="24"/>
        </w:rPr>
        <w:t xml:space="preserve"> de Clasificación que cumpla con las formalidades previstas, arriba señaladas, en el </w:t>
      </w:r>
      <w:r w:rsidRPr="00785058">
        <w:rPr>
          <w:rFonts w:ascii="Palatino Linotype" w:hAnsi="Palatino Linotype" w:cs="Arial"/>
          <w:sz w:val="24"/>
          <w:lang w:eastAsia="es-MX"/>
        </w:rPr>
        <w:t>que</w:t>
      </w:r>
      <w:r w:rsidRPr="00785058">
        <w:rPr>
          <w:rFonts w:ascii="Palatino Linotype" w:hAnsi="Palatino Linotype" w:cs="Arial"/>
          <w:sz w:val="24"/>
        </w:rPr>
        <w:t xml:space="preserve"> se expongan los fundamentos y razones que llevaron a la autoridad a clasificar la información requerida, ya que el no hacerlo implica dejar al solicitante en estado de incertidumbre jurídica, al no conocer o comprender el fundamento legal, así como las razones por las cuales de manera temporal, no es posible realizar su entrega, ya que si no se exponen de manera puntual las razones, se violentaría el derecho de acceso a la información del solicitante.</w:t>
      </w:r>
    </w:p>
    <w:p w:rsidR="008D542B" w:rsidRPr="00785058" w:rsidRDefault="008D542B" w:rsidP="008D542B">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cs="Times New Roman"/>
          <w:sz w:val="24"/>
        </w:rPr>
      </w:pPr>
      <w:r w:rsidRPr="00785058">
        <w:rPr>
          <w:rFonts w:ascii="Palatino Linotype" w:hAnsi="Palatino Linotype" w:cs="Arial"/>
          <w:sz w:val="24"/>
        </w:rPr>
        <w:t xml:space="preserve">Relacionado con lo anterior, en </w:t>
      </w:r>
      <w:r w:rsidR="00785058">
        <w:rPr>
          <w:rFonts w:ascii="Palatino Linotype" w:hAnsi="Palatino Linotype" w:cs="Arial"/>
          <w:sz w:val="24"/>
        </w:rPr>
        <w:t xml:space="preserve">el Acuerdo de clasificación debió </w:t>
      </w:r>
      <w:r w:rsidRPr="00785058">
        <w:rPr>
          <w:rFonts w:ascii="Palatino Linotype" w:hAnsi="Palatino Linotype" w:cs="Arial"/>
          <w:sz w:val="24"/>
        </w:rPr>
        <w:t xml:space="preserve">constar la realización de la prueba de daño, </w:t>
      </w:r>
      <w:r w:rsidRPr="00785058">
        <w:rPr>
          <w:rFonts w:ascii="Palatino Linotype" w:hAnsi="Palatino Linotype"/>
          <w:sz w:val="24"/>
        </w:rPr>
        <w:t xml:space="preserve">en la que se justifiquen las razones, motivos y circunstancias que avalen que la divulgación de la información representa un riesgo real, demostrable e identificable de perjuicio significativo al interés público; </w:t>
      </w:r>
      <w:r w:rsidRPr="00785058">
        <w:rPr>
          <w:rFonts w:ascii="Palatino Linotype" w:hAnsi="Palatino Linotype" w:cs="Arial"/>
          <w:sz w:val="24"/>
          <w:lang w:eastAsia="es-MX"/>
        </w:rPr>
        <w:t>asimismo</w:t>
      </w:r>
      <w:r w:rsidRPr="00785058">
        <w:rPr>
          <w:rFonts w:ascii="Palatino Linotype" w:hAnsi="Palatino Linotype"/>
          <w:sz w:val="24"/>
        </w:rPr>
        <w:t>, se demuestre el daño presente, probable y específico; que el riesgo de perjuicio que supondría la divulgación supera el interés público general.</w:t>
      </w:r>
    </w:p>
    <w:p w:rsidR="008D542B" w:rsidRPr="00785058" w:rsidRDefault="008D542B" w:rsidP="008D542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sz w:val="24"/>
        </w:rPr>
      </w:pPr>
      <w:r w:rsidRPr="00785058">
        <w:rPr>
          <w:rFonts w:ascii="Palatino Linotype" w:hAnsi="Palatino Linotype"/>
          <w:sz w:val="24"/>
        </w:rPr>
        <w:t xml:space="preserve">En ese tenor, los artículos 114 de la Ley General de Transparencia y Acceso a la Información Pública, 128 y 129 de la Ley de Transparencia y Acceso a la Información Pública del Estado de México y Municipios, los cuales se transcriben a </w:t>
      </w:r>
      <w:r w:rsidRPr="00785058">
        <w:rPr>
          <w:rFonts w:ascii="Palatino Linotype" w:hAnsi="Palatino Linotype" w:cs="Arial"/>
          <w:sz w:val="24"/>
        </w:rPr>
        <w:t>continuación</w:t>
      </w:r>
      <w:r w:rsidRPr="00785058">
        <w:rPr>
          <w:rFonts w:ascii="Palatino Linotype" w:hAnsi="Palatino Linotype"/>
          <w:sz w:val="24"/>
        </w:rPr>
        <w:t>:</w:t>
      </w:r>
    </w:p>
    <w:p w:rsidR="008D542B" w:rsidRPr="00F70233" w:rsidRDefault="008D542B" w:rsidP="00F70233">
      <w:pPr>
        <w:spacing w:before="100" w:beforeAutospacing="1" w:after="100" w:afterAutospacing="1" w:line="240" w:lineRule="auto"/>
        <w:ind w:left="851" w:right="851"/>
        <w:jc w:val="center"/>
        <w:rPr>
          <w:rFonts w:ascii="Palatino Linotype" w:hAnsi="Palatino Linotype" w:cs="Arial"/>
          <w:bCs/>
          <w:i/>
          <w:sz w:val="20"/>
        </w:rPr>
      </w:pPr>
      <w:r w:rsidRPr="00F70233">
        <w:rPr>
          <w:rFonts w:ascii="Palatino Linotype" w:hAnsi="Palatino Linotype" w:cs="Arial"/>
          <w:bCs/>
          <w:i/>
          <w:sz w:val="20"/>
        </w:rPr>
        <w:t>Ley General de Transparencia y Acceso a la Información Pública</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Artículo 114. Las causales de reserva previstas en el artículo anterior se deberán fundar y motivar, a través de la aplicación de la prueba de daño a la que se hace referencia en el presente Título.</w:t>
      </w:r>
    </w:p>
    <w:p w:rsidR="008D542B" w:rsidRPr="00F70233" w:rsidRDefault="008D542B" w:rsidP="00F70233">
      <w:pPr>
        <w:spacing w:before="100" w:beforeAutospacing="1" w:after="100" w:afterAutospacing="1" w:line="240" w:lineRule="auto"/>
        <w:ind w:left="851" w:right="851"/>
        <w:jc w:val="center"/>
        <w:rPr>
          <w:rFonts w:ascii="Palatino Linotype" w:hAnsi="Palatino Linotype" w:cs="Arial"/>
          <w:bCs/>
          <w:i/>
          <w:sz w:val="20"/>
        </w:rPr>
      </w:pPr>
      <w:r w:rsidRPr="00F70233">
        <w:rPr>
          <w:rFonts w:ascii="Palatino Linotype" w:hAnsi="Palatino Linotype" w:cs="Arial"/>
          <w:bCs/>
          <w:i/>
          <w:sz w:val="20"/>
        </w:rPr>
        <w:lastRenderedPageBreak/>
        <w:t>Ley de Transparencia y Acceso a la Información Pública del Estado de México y Municipios</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Artículo 128. En los casos en que se niegue el acceso a la información, por actualizarse alguno de los supuestos de clasificación, el Comité de Transparencia deberá confirmar, modificar o revocar la decisión. </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Tratándose de aquélla información que actualice los supuestos de clasificación, deberá señalarse el plazo al que estará sujeto la reserva. </w:t>
      </w:r>
    </w:p>
    <w:p w:rsidR="008D542B" w:rsidRPr="00F70233" w:rsidRDefault="008D542B" w:rsidP="00F70233">
      <w:p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Artículo 129. En la aplicación de la prueba de daño, el sujeto obligado deberá precisar las razones objetivas por las que la apertura de la información generaría una afectación, justificando que: </w:t>
      </w:r>
    </w:p>
    <w:p w:rsidR="008D542B" w:rsidRPr="00F70233" w:rsidRDefault="008D542B" w:rsidP="00F70233">
      <w:pPr>
        <w:pStyle w:val="Prrafodelista"/>
        <w:numPr>
          <w:ilvl w:val="0"/>
          <w:numId w:val="4"/>
        </w:num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La divulgación de la información representa un riesgo real, demostrable e identificable del perjuicio significativo al interés público o a la seguridad pública; </w:t>
      </w:r>
    </w:p>
    <w:p w:rsidR="008D542B" w:rsidRPr="00F70233" w:rsidRDefault="008D542B" w:rsidP="00F70233">
      <w:pPr>
        <w:pStyle w:val="Prrafodelista"/>
        <w:numPr>
          <w:ilvl w:val="0"/>
          <w:numId w:val="4"/>
        </w:num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 xml:space="preserve">El riesgo de perjuicio que supondría la divulgación supera el interés público general de que se difunda; y </w:t>
      </w:r>
    </w:p>
    <w:p w:rsidR="008D542B" w:rsidRPr="00F70233" w:rsidRDefault="008D542B" w:rsidP="00F70233">
      <w:pPr>
        <w:pStyle w:val="Prrafodelista"/>
        <w:numPr>
          <w:ilvl w:val="0"/>
          <w:numId w:val="4"/>
        </w:numPr>
        <w:spacing w:before="100" w:beforeAutospacing="1" w:after="100" w:afterAutospacing="1" w:line="240" w:lineRule="auto"/>
        <w:ind w:left="851" w:right="851"/>
        <w:jc w:val="both"/>
        <w:rPr>
          <w:rFonts w:ascii="Palatino Linotype" w:hAnsi="Palatino Linotype" w:cs="Arial"/>
          <w:bCs/>
          <w:i/>
          <w:sz w:val="20"/>
        </w:rPr>
      </w:pPr>
      <w:r w:rsidRPr="00F70233">
        <w:rPr>
          <w:rFonts w:ascii="Palatino Linotype" w:hAnsi="Palatino Linotype" w:cs="Arial"/>
          <w:bCs/>
          <w:i/>
          <w:sz w:val="20"/>
        </w:rPr>
        <w:t>La limitación se adecua al principio de proporcionalidad y representa el medio menos restrictivo disponible representa el medio menos restrictivo disponible para evitar el perjuicio.</w:t>
      </w:r>
    </w:p>
    <w:p w:rsidR="008D542B" w:rsidRPr="002E5896" w:rsidRDefault="00785058" w:rsidP="002E5896">
      <w:pPr>
        <w:spacing w:before="100" w:beforeAutospacing="1" w:after="100" w:afterAutospacing="1"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De los argumentos vertidos con anterioridad, el suscrito emite el presente voto particular, atendiendo que al no seguir el procedimiento estab</w:t>
      </w:r>
      <w:r w:rsidR="003128DF">
        <w:rPr>
          <w:rFonts w:ascii="Palatino Linotype" w:eastAsia="Calibri" w:hAnsi="Palatino Linotype" w:cs="Arial"/>
          <w:color w:val="000000" w:themeColor="text1"/>
          <w:sz w:val="24"/>
          <w:szCs w:val="24"/>
          <w:lang w:val="es-ES"/>
        </w:rPr>
        <w:t>lecido en la Ley de la materia, hay una restricción al derecho humano de acceso a la información púbica ya que no se explica por qué</w:t>
      </w:r>
      <w:r w:rsidR="00F70233">
        <w:rPr>
          <w:rFonts w:ascii="Palatino Linotype" w:eastAsia="Calibri" w:hAnsi="Palatino Linotype" w:cs="Arial"/>
          <w:color w:val="000000" w:themeColor="text1"/>
          <w:sz w:val="24"/>
          <w:szCs w:val="24"/>
          <w:lang w:val="es-ES"/>
        </w:rPr>
        <w:t xml:space="preserve"> no se le entrego la información requerida, debiendo así la ponencia que resolvió modificar la respuesta del Sujeto Obligado y ordenar el Acuerdo de Clasificación de información como reservada de la auditoria </w:t>
      </w:r>
      <w:r w:rsidR="00F70233" w:rsidRPr="008D542B">
        <w:rPr>
          <w:rFonts w:ascii="Palatino Linotype" w:eastAsia="Calibri" w:hAnsi="Palatino Linotype" w:cs="Arial"/>
          <w:color w:val="000000" w:themeColor="text1"/>
          <w:sz w:val="24"/>
          <w:szCs w:val="24"/>
        </w:rPr>
        <w:t>administrativa financiera OIC/AF/001/2018</w:t>
      </w:r>
      <w:r w:rsidR="00F70233">
        <w:rPr>
          <w:rFonts w:ascii="Palatino Linotype" w:eastAsia="Calibri" w:hAnsi="Palatino Linotype" w:cs="Arial"/>
          <w:color w:val="000000" w:themeColor="text1"/>
          <w:sz w:val="24"/>
          <w:szCs w:val="24"/>
        </w:rPr>
        <w:t>.</w:t>
      </w:r>
    </w:p>
    <w:p w:rsidR="00227985" w:rsidRPr="008633C2" w:rsidRDefault="00227985" w:rsidP="00227985">
      <w:pPr>
        <w:spacing w:before="240" w:after="0" w:line="360" w:lineRule="auto"/>
        <w:jc w:val="both"/>
        <w:rPr>
          <w:rFonts w:ascii="Palatino Linotype" w:hAnsi="Palatino Linotype" w:cs="Arial"/>
          <w:sz w:val="24"/>
          <w:szCs w:val="24"/>
        </w:rPr>
      </w:pPr>
      <w:r w:rsidRPr="008633C2">
        <w:rPr>
          <w:rFonts w:ascii="Palatino Linotype" w:hAnsi="Palatino Linotype" w:cs="Arial"/>
          <w:sz w:val="24"/>
          <w:szCs w:val="24"/>
        </w:rPr>
        <w:lastRenderedPageBreak/>
        <w:t xml:space="preserve">Por todo lo expuesto es que formulo el presente voto particular, en los términos precisados, teniendo las consideraciones aquí expuestas hubieran resultado importantes para </w:t>
      </w:r>
      <w:r w:rsidR="00E555F0" w:rsidRPr="008633C2">
        <w:rPr>
          <w:rFonts w:ascii="Palatino Linotype" w:hAnsi="Palatino Linotype" w:cs="Arial"/>
          <w:sz w:val="24"/>
          <w:szCs w:val="24"/>
        </w:rPr>
        <w:t>resolver el recurso de revisión.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1F0720" w:rsidTr="00C50BB6">
        <w:trPr>
          <w:trHeight w:val="809"/>
          <w:jc w:val="center"/>
        </w:trPr>
        <w:tc>
          <w:tcPr>
            <w:tcW w:w="4396" w:type="dxa"/>
          </w:tcPr>
          <w:p w:rsidR="00227985" w:rsidRPr="0087546B" w:rsidRDefault="00227985"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1F0720" w:rsidRPr="0087546B" w:rsidRDefault="001F0720"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Javier Martínez Cruz</w:t>
            </w:r>
          </w:p>
        </w:tc>
      </w:tr>
      <w:tr w:rsidR="00227985" w:rsidRPr="001F0720" w:rsidTr="00C50BB6">
        <w:trPr>
          <w:trHeight w:val="319"/>
          <w:jc w:val="center"/>
        </w:trPr>
        <w:tc>
          <w:tcPr>
            <w:tcW w:w="4396" w:type="dxa"/>
          </w:tcPr>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Comisionado</w:t>
            </w:r>
          </w:p>
          <w:p w:rsidR="00DF658A" w:rsidRPr="0087546B" w:rsidRDefault="00DF658A" w:rsidP="00C50BB6">
            <w:pPr>
              <w:jc w:val="center"/>
              <w:rPr>
                <w:rFonts w:ascii="Palatino Linotype" w:hAnsi="Palatino Linotype"/>
                <w:b/>
                <w:sz w:val="24"/>
                <w:szCs w:val="24"/>
              </w:rPr>
            </w:pPr>
          </w:p>
          <w:p w:rsidR="00227985" w:rsidRPr="0087546B" w:rsidRDefault="00227985" w:rsidP="0059780A">
            <w:pPr>
              <w:rPr>
                <w:rFonts w:ascii="Palatino Linotype" w:hAnsi="Palatino Linotype"/>
                <w:sz w:val="24"/>
                <w:szCs w:val="24"/>
              </w:rPr>
            </w:pPr>
          </w:p>
        </w:tc>
      </w:tr>
    </w:tbl>
    <w:p w:rsidR="00247AFA" w:rsidRPr="001F0720" w:rsidRDefault="00247AFA" w:rsidP="0059780A">
      <w:pPr>
        <w:rPr>
          <w:szCs w:val="24"/>
        </w:rPr>
      </w:pPr>
    </w:p>
    <w:sectPr w:rsidR="00247AFA" w:rsidRPr="001F07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653" w:rsidRDefault="00D07653" w:rsidP="00247AFA">
      <w:pPr>
        <w:spacing w:after="0" w:line="240" w:lineRule="auto"/>
      </w:pPr>
      <w:r>
        <w:separator/>
      </w:r>
    </w:p>
  </w:endnote>
  <w:endnote w:type="continuationSeparator" w:id="0">
    <w:p w:rsidR="00D07653" w:rsidRDefault="00D07653"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8D6697">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8D6697">
      <w:rPr>
        <w:rFonts w:ascii="Arial" w:eastAsia="Calibri" w:hAnsi="Arial" w:cs="Arial"/>
        <w:b/>
        <w:bCs/>
        <w:noProof/>
        <w:sz w:val="20"/>
        <w:szCs w:val="20"/>
        <w:lang w:val="es-ES" w:eastAsia="es-ES"/>
      </w:rPr>
      <w:t>9</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653" w:rsidRDefault="00D07653" w:rsidP="00247AFA">
      <w:pPr>
        <w:spacing w:after="0" w:line="240" w:lineRule="auto"/>
      </w:pPr>
      <w:r>
        <w:separator/>
      </w:r>
    </w:p>
  </w:footnote>
  <w:footnote w:type="continuationSeparator" w:id="0">
    <w:p w:rsidR="00D07653" w:rsidRDefault="00D07653" w:rsidP="0024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D07653"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247AFA">
      <w:rPr>
        <w:rFonts w:ascii="Palatino Linotype" w:hAnsi="Palatino Linotype"/>
        <w:b/>
      </w:rPr>
      <w:t>V</w:t>
    </w:r>
    <w:r w:rsidR="00247AFA" w:rsidRPr="00FD1289">
      <w:rPr>
        <w:rFonts w:ascii="Palatino Linotype" w:hAnsi="Palatino Linotype"/>
        <w:b/>
        <w:sz w:val="24"/>
        <w:szCs w:val="24"/>
      </w:rPr>
      <w:t>OTO 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7D4237">
      <w:rPr>
        <w:rFonts w:ascii="Palatino Linotype" w:hAnsi="Palatino Linotype" w:cs="Arial"/>
        <w:b/>
        <w:bCs/>
        <w:sz w:val="24"/>
        <w:szCs w:val="24"/>
        <w:lang w:eastAsia="es-MX"/>
      </w:rPr>
      <w:t>02090</w:t>
    </w:r>
    <w:r w:rsidR="00676AA1">
      <w:rPr>
        <w:rFonts w:ascii="Palatino Linotype" w:hAnsi="Palatino Linotype" w:cs="Arial"/>
        <w:b/>
        <w:bCs/>
        <w:sz w:val="24"/>
        <w:szCs w:val="24"/>
        <w:lang w:eastAsia="es-MX"/>
      </w:rPr>
      <w:t>/INFOEM/IP/RR/2018</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nsid w:val="758F3DB5"/>
    <w:multiLevelType w:val="hybridMultilevel"/>
    <w:tmpl w:val="303236D2"/>
    <w:lvl w:ilvl="0" w:tplc="E22E8C9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67249"/>
    <w:rsid w:val="000953DB"/>
    <w:rsid w:val="000A0233"/>
    <w:rsid w:val="000A6F2D"/>
    <w:rsid w:val="00135DC4"/>
    <w:rsid w:val="0015436A"/>
    <w:rsid w:val="001D7F8C"/>
    <w:rsid w:val="001F0720"/>
    <w:rsid w:val="001F445C"/>
    <w:rsid w:val="00227985"/>
    <w:rsid w:val="00247AFA"/>
    <w:rsid w:val="00290B8C"/>
    <w:rsid w:val="002E5896"/>
    <w:rsid w:val="003128DF"/>
    <w:rsid w:val="00320195"/>
    <w:rsid w:val="003263BA"/>
    <w:rsid w:val="00327CA0"/>
    <w:rsid w:val="00330E2B"/>
    <w:rsid w:val="00333FB3"/>
    <w:rsid w:val="00365C9A"/>
    <w:rsid w:val="003F1069"/>
    <w:rsid w:val="00494872"/>
    <w:rsid w:val="004B07A8"/>
    <w:rsid w:val="004D1CAC"/>
    <w:rsid w:val="004E3E94"/>
    <w:rsid w:val="00515607"/>
    <w:rsid w:val="00563AE5"/>
    <w:rsid w:val="00581A89"/>
    <w:rsid w:val="0059780A"/>
    <w:rsid w:val="00600BA3"/>
    <w:rsid w:val="0063142F"/>
    <w:rsid w:val="00641437"/>
    <w:rsid w:val="00642384"/>
    <w:rsid w:val="00661191"/>
    <w:rsid w:val="00665FB4"/>
    <w:rsid w:val="00676AA1"/>
    <w:rsid w:val="00696583"/>
    <w:rsid w:val="006E3920"/>
    <w:rsid w:val="007529BE"/>
    <w:rsid w:val="00785058"/>
    <w:rsid w:val="0079291E"/>
    <w:rsid w:val="007D3ACA"/>
    <w:rsid w:val="007D4237"/>
    <w:rsid w:val="008030EC"/>
    <w:rsid w:val="008633C2"/>
    <w:rsid w:val="0087546B"/>
    <w:rsid w:val="008D542B"/>
    <w:rsid w:val="008D6697"/>
    <w:rsid w:val="008E6B30"/>
    <w:rsid w:val="009472B6"/>
    <w:rsid w:val="009D3E65"/>
    <w:rsid w:val="00A003D8"/>
    <w:rsid w:val="00A275AD"/>
    <w:rsid w:val="00A645F0"/>
    <w:rsid w:val="00B65B8E"/>
    <w:rsid w:val="00BC44E5"/>
    <w:rsid w:val="00C20EEA"/>
    <w:rsid w:val="00CC313E"/>
    <w:rsid w:val="00CC3F5C"/>
    <w:rsid w:val="00CE3748"/>
    <w:rsid w:val="00D07653"/>
    <w:rsid w:val="00D645C9"/>
    <w:rsid w:val="00D6696F"/>
    <w:rsid w:val="00D9057B"/>
    <w:rsid w:val="00DA11BE"/>
    <w:rsid w:val="00DB6D11"/>
    <w:rsid w:val="00DF658A"/>
    <w:rsid w:val="00E17F4F"/>
    <w:rsid w:val="00E23BCA"/>
    <w:rsid w:val="00E555F0"/>
    <w:rsid w:val="00F17720"/>
    <w:rsid w:val="00F370A8"/>
    <w:rsid w:val="00F4125F"/>
    <w:rsid w:val="00F53D42"/>
    <w:rsid w:val="00F70233"/>
    <w:rsid w:val="00F7442A"/>
    <w:rsid w:val="00FD1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basedOn w:val="Normal"/>
    <w:link w:val="TextonotapieCar"/>
    <w:uiPriority w:val="99"/>
    <w:semiHidden/>
    <w:unhideWhenUsed/>
    <w:rsid w:val="00665F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304895823">
      <w:bodyDiv w:val="1"/>
      <w:marLeft w:val="0"/>
      <w:marRight w:val="0"/>
      <w:marTop w:val="0"/>
      <w:marBottom w:val="0"/>
      <w:divBdr>
        <w:top w:val="none" w:sz="0" w:space="0" w:color="auto"/>
        <w:left w:val="none" w:sz="0" w:space="0" w:color="auto"/>
        <w:bottom w:val="none" w:sz="0" w:space="0" w:color="auto"/>
        <w:right w:val="none" w:sz="0" w:space="0" w:color="auto"/>
      </w:divBdr>
    </w:div>
    <w:div w:id="602500061">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336030878">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465B-52A2-4604-B0FB-D4F8A7D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2204</Words>
  <Characters>12125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2018-08-20T21:52:00Z</cp:lastPrinted>
  <dcterms:created xsi:type="dcterms:W3CDTF">2018-10-16T01:03:00Z</dcterms:created>
  <dcterms:modified xsi:type="dcterms:W3CDTF">2018-10-16T01:03:00Z</dcterms:modified>
</cp:coreProperties>
</file>